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 xml:space="preserve">Директор 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Директор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Главный конструктор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440" w:after="16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«Разработка сменной интерфейсной субплаты 8×E1 и функционального программного Функционального модуля для универсального базового модуля AMC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Начальник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пупупу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1" w:name="_Hlk238025344"/>
            <w:bookmarkEnd w:id="1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</w:tr>
    </w:tbl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spacing w:before="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ТВК 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E1</w:t>
      </w:r>
      <w:r>
        <w:rPr>
          <w:lang w:val="ru-RU"/>
        </w:rPr>
        <w:t xml:space="preserve"> — цифровой телекоммуникационный поток со скоростью 2,048 Мбит/с (рекомендация ITU-T G.703 / G.704);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Субплата 8×E1</w:t>
      </w:r>
      <w:r>
        <w:rPr>
          <w:lang w:val="ru-RU"/>
        </w:rPr>
        <w:t xml:space="preserve"> — сменная интерфейсная плата физических интерфейсов 8×E1, устанавливаемая на базовую плату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</w:t>
      </w:r>
      <w:r>
        <w:rPr>
          <w:lang w:val="ru-RU"/>
        </w:rPr>
        <w:t xml:space="preserve"> — универсальная цифровая несущая плата мезонина AMC с вычислительным узлом на базе ПЛИС;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Функциональный модуль E1 (FPGA IP Core)</w:t>
      </w:r>
      <w:r>
        <w:rPr>
          <w:lang w:val="ru-RU"/>
        </w:rPr>
        <w:t xml:space="preserve"> — функциональный программный RTL-блок прошивки ПЛИС базовой платы для обработки потоков E1;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SAToP (Structure-Agnostic TDM over Packet)</w:t>
      </w:r>
      <w:r>
        <w:rPr>
          <w:lang w:val="ru-RU"/>
        </w:rPr>
        <w:t xml:space="preserve"> — режим передачи неструктурированного потока TDM по пакетной сети Ethernet (RFC 4553);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CESoPSN (Circuit Emulation Service over Packet Switched Network)</w:t>
      </w:r>
      <w:r>
        <w:rPr>
          <w:lang w:val="ru-RU"/>
        </w:rPr>
        <w:t xml:space="preserve"> — режим эмуляции структурированных каналов Nx64 кбит/с в пакетной сети (RFC 5086);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LIU (Line Interface Unit)</w:t>
      </w:r>
      <w:r>
        <w:rPr>
          <w:lang w:val="ru-RU"/>
        </w:rPr>
        <w:t xml:space="preserve"> — линейный приемопередатчик интерфейса E1;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стандартизованный межплатный высокоскоростной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LOS (Loss of Signal)</w:t>
      </w:r>
      <w:r>
        <w:rPr>
          <w:lang w:val="ru-RU"/>
        </w:rPr>
        <w:t xml:space="preserve"> — состояние потери входного сигнала E1;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LOF (Loss of Frame)</w:t>
      </w:r>
      <w:r>
        <w:rPr>
          <w:lang w:val="ru-RU"/>
        </w:rPr>
        <w:t xml:space="preserve"> — состояние потери цикловой синхронизации E1;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AIS (Alarm Indication Signal)</w:t>
      </w:r>
      <w:r>
        <w:rPr>
          <w:lang w:val="ru-RU"/>
        </w:rPr>
        <w:t xml:space="preserve"> — сигнал индикации аварии («все единицы»);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RAI (Remote Alarm Indication)</w:t>
      </w:r>
      <w:r>
        <w:rPr>
          <w:lang w:val="ru-RU"/>
        </w:rPr>
        <w:t xml:space="preserve"> — сигнал аварии на дальнем конце линии;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CRC-4</w:t>
      </w:r>
      <w:r>
        <w:rPr>
          <w:lang w:val="ru-RU"/>
        </w:rPr>
        <w:t xml:space="preserve"> — циклический избыточный код контроля целостности сверхцикла E1;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BER (Bit Error Rate)</w:t>
      </w:r>
      <w:r>
        <w:rPr>
          <w:lang w:val="ru-RU"/>
        </w:rPr>
        <w:t xml:space="preserve"> — коэффициент битовых ошибок;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ACR (Adaptive Clock Recovery)</w:t>
      </w:r>
      <w:r>
        <w:rPr>
          <w:lang w:val="ru-RU"/>
        </w:rPr>
        <w:t xml:space="preserve"> — алгоритм адаптивного восстановления тактовой частоты из пакетного потока;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субплаты 8×E1 и Функционального модуля E1 применяются следующие стандарты и рекомендации:</w:t>
      </w:r>
    </w:p>
    <w:p>
      <w:pPr>
        <w:pStyle w:val="Normal"/>
        <w:rPr/>
      </w:pPr>
      <w:r>
        <w:rPr>
          <w:b/>
        </w:rPr>
        <w:t>ITU-T G.703</w:t>
      </w:r>
      <w:r>
        <w:rPr/>
        <w:t xml:space="preserve"> — Physical/electrical characteristics of hierarchical digital interfaces (</w:t>
      </w:r>
      <w:r>
        <w:rPr>
          <w:lang w:val="ru-RU"/>
        </w:rPr>
        <w:t>физические</w:t>
      </w:r>
      <w:r>
        <w:rPr/>
        <w:t xml:space="preserve"> </w:t>
      </w:r>
      <w:r>
        <w:rPr>
          <w:lang w:val="ru-RU"/>
        </w:rPr>
        <w:t>и</w:t>
      </w:r>
      <w:r>
        <w:rPr/>
        <w:t xml:space="preserve"> </w:t>
      </w:r>
      <w:r>
        <w:rPr>
          <w:lang w:val="ru-RU"/>
        </w:rPr>
        <w:t>электрические</w:t>
      </w:r>
      <w:r>
        <w:rPr/>
        <w:t xml:space="preserve"> </w:t>
      </w:r>
      <w:r>
        <w:rPr>
          <w:lang w:val="ru-RU"/>
        </w:rPr>
        <w:t>параметры</w:t>
      </w:r>
      <w:r>
        <w:rPr/>
        <w:t xml:space="preserve"> </w:t>
      </w:r>
      <w:r>
        <w:rPr>
          <w:lang w:val="ru-RU"/>
        </w:rPr>
        <w:t>стыка</w:t>
      </w:r>
      <w:r>
        <w:rPr/>
        <w:t xml:space="preserve"> E1 2048 </w:t>
      </w:r>
      <w:r>
        <w:rPr>
          <w:lang w:val="ru-RU"/>
        </w:rPr>
        <w:t>кбит</w:t>
      </w:r>
      <w:r>
        <w:rPr/>
        <w:t>/</w:t>
      </w:r>
      <w:r>
        <w:rPr>
          <w:lang w:val="ru-RU"/>
        </w:rPr>
        <w:t>с</w:t>
      </w:r>
      <w:r>
        <w:rPr/>
        <w:t xml:space="preserve">, 120 </w:t>
      </w:r>
      <w:r>
        <w:rPr>
          <w:lang w:val="ru-RU"/>
        </w:rPr>
        <w:t>Ом</w:t>
      </w:r>
      <w:r>
        <w:rPr/>
        <w:t>);</w:t>
      </w:r>
    </w:p>
    <w:p>
      <w:pPr>
        <w:pStyle w:val="Normal"/>
        <w:rPr/>
      </w:pPr>
      <w:r>
        <w:rPr>
          <w:b/>
        </w:rPr>
        <w:t>ITU-T G.704</w:t>
      </w:r>
      <w:r>
        <w:rPr/>
        <w:t xml:space="preserve"> — Synchronous frame structures used at 1544, 6312, 2048, 8448 and 44736 kbit/s hierarchical levels (</w:t>
      </w:r>
      <w:r>
        <w:rPr>
          <w:lang w:val="ru-RU"/>
        </w:rPr>
        <w:t>структура</w:t>
      </w:r>
      <w:r>
        <w:rPr/>
        <w:t xml:space="preserve"> </w:t>
      </w:r>
      <w:r>
        <w:rPr>
          <w:lang w:val="ru-RU"/>
        </w:rPr>
        <w:t>цикла</w:t>
      </w:r>
      <w:r>
        <w:rPr/>
        <w:t xml:space="preserve"> E1, CRC-4, </w:t>
      </w:r>
      <w:r>
        <w:rPr>
          <w:lang w:val="ru-RU"/>
        </w:rPr>
        <w:t>сигнализация</w:t>
      </w:r>
      <w:r>
        <w:rPr/>
        <w:t xml:space="preserve"> CAS/CCS);</w:t>
      </w:r>
    </w:p>
    <w:p>
      <w:pPr>
        <w:pStyle w:val="Normal"/>
        <w:rPr/>
      </w:pPr>
      <w:r>
        <w:rPr>
          <w:b/>
        </w:rPr>
        <w:t>ITU-T G.823</w:t>
      </w:r>
      <w:r>
        <w:rPr/>
        <w:t xml:space="preserve"> — The control of jitter and wander within digital networks which are based on the 2048 kbit/s hierarchy (</w:t>
      </w:r>
      <w:r>
        <w:rPr>
          <w:lang w:val="ru-RU"/>
        </w:rPr>
        <w:t>требования</w:t>
      </w:r>
      <w:r>
        <w:rPr/>
        <w:t xml:space="preserve"> </w:t>
      </w:r>
      <w:r>
        <w:rPr>
          <w:lang w:val="ru-RU"/>
        </w:rPr>
        <w:t>к</w:t>
      </w:r>
      <w:r>
        <w:rPr/>
        <w:t xml:space="preserve"> </w:t>
      </w:r>
      <w:r>
        <w:rPr>
          <w:lang w:val="ru-RU"/>
        </w:rPr>
        <w:t>джиттеру</w:t>
      </w:r>
      <w:r>
        <w:rPr/>
        <w:t xml:space="preserve"> </w:t>
      </w:r>
      <w:r>
        <w:rPr>
          <w:lang w:val="ru-RU"/>
        </w:rPr>
        <w:t>и</w:t>
      </w:r>
      <w:r>
        <w:rPr/>
        <w:t xml:space="preserve"> </w:t>
      </w:r>
      <w:r>
        <w:rPr>
          <w:lang w:val="ru-RU"/>
        </w:rPr>
        <w:t>вандеру</w:t>
      </w:r>
      <w:r>
        <w:rPr/>
        <w:t xml:space="preserve"> </w:t>
      </w:r>
      <w:r>
        <w:rPr>
          <w:lang w:val="ru-RU"/>
        </w:rPr>
        <w:t>сетей</w:t>
      </w:r>
      <w:r>
        <w:rPr/>
        <w:t xml:space="preserve"> 2048 </w:t>
      </w:r>
      <w:r>
        <w:rPr>
          <w:lang w:val="ru-RU"/>
        </w:rPr>
        <w:t>кбит</w:t>
      </w:r>
      <w:r>
        <w:rPr/>
        <w:t>/</w:t>
      </w:r>
      <w:r>
        <w:rPr>
          <w:lang w:val="ru-RU"/>
        </w:rPr>
        <w:t>с</w:t>
      </w:r>
      <w:r>
        <w:rPr/>
        <w:t>);</w:t>
      </w:r>
    </w:p>
    <w:p>
      <w:pPr>
        <w:pStyle w:val="Normal"/>
        <w:rPr/>
      </w:pPr>
      <w:r>
        <w:rPr>
          <w:b/>
        </w:rPr>
        <w:t>ITU-T G.826</w:t>
      </w:r>
      <w:r>
        <w:rPr/>
        <w:t xml:space="preserve"> — End-to-end error performance parameters and objectives for international, constant bit-rate digital paths and connections (</w:t>
      </w:r>
      <w:r>
        <w:rPr>
          <w:lang w:val="ru-RU"/>
        </w:rPr>
        <w:t>показатели</w:t>
      </w:r>
      <w:r>
        <w:rPr/>
        <w:t xml:space="preserve"> </w:t>
      </w:r>
      <w:r>
        <w:rPr>
          <w:lang w:val="ru-RU"/>
        </w:rPr>
        <w:t>качества</w:t>
      </w:r>
      <w:r>
        <w:rPr/>
        <w:t xml:space="preserve"> </w:t>
      </w:r>
      <w:r>
        <w:rPr>
          <w:lang w:val="ru-RU"/>
        </w:rPr>
        <w:t>передачи</w:t>
      </w:r>
      <w:r>
        <w:rPr/>
        <w:t>);</w:t>
      </w:r>
    </w:p>
    <w:p>
      <w:pPr>
        <w:pStyle w:val="Normal"/>
        <w:rPr/>
      </w:pPr>
      <w:r>
        <w:rPr>
          <w:b/>
        </w:rPr>
        <w:t>RFC 4553</w:t>
      </w:r>
      <w:r>
        <w:rPr/>
        <w:t xml:space="preserve"> — Structure-Agnostic Time Division Multiplexing (TDM) over Packet (SAToP);</w:t>
      </w:r>
    </w:p>
    <w:p>
      <w:pPr>
        <w:pStyle w:val="Normal"/>
        <w:rPr/>
      </w:pPr>
      <w:r>
        <w:rPr>
          <w:b/>
        </w:rPr>
        <w:t>RFC 5086</w:t>
      </w:r>
      <w:r>
        <w:rPr/>
        <w:t xml:space="preserve"> — Structure-Aware Time Division Multiplexed (TDM) Circuit Emulation Service over Packet Switched Network (CESoPSN);</w:t>
      </w:r>
    </w:p>
    <w:p>
      <w:pPr>
        <w:pStyle w:val="Normal"/>
        <w:rPr/>
      </w:pPr>
      <w:r>
        <w:rPr>
          <w:b/>
        </w:rPr>
        <w:t>PICMG AMC.0 R2.0</w:t>
      </w:r>
      <w:r>
        <w:rPr/>
        <w:t xml:space="preserve"> — Advanced Mezzanine Card Base Specification;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" w:cstheme="majorBidi" w:eastAsiaTheme="majorEastAsia"/>
          <w:b/>
          <w:bCs/>
          <w:color w:themeColor="text1" w:val="000000"/>
          <w:szCs w:val="28"/>
          <w:lang w:val="ru-RU"/>
        </w:rPr>
      </w:pPr>
      <w:r>
        <w:rPr>
          <w:rFonts w:eastAsia="ＭＳ ゴシック" w:cs="" w:cstheme="majorBidi" w:eastAsiaTheme="majorEastAsia"/>
          <w:b/>
          <w:bCs/>
          <w:color w:themeColor="text1" w:val="000000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Полное наименование составной части ОКР: «Разработка сменной интерфейсной субплаты 8×E1 и функционального программного Функционального модуля для универсального базового модуля AMC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Разрабатываемое изделие далее по тексту именуется интерфейсным модулем AMC E1 или субплатой 8×E1.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создание интерфейсной субплаты 8×E1 и соответствующего программного Функционального модуля ПЛИС, обеспечивающих подключение восьми независимых линий E1 G.703 (120 Ом), двунаправленную инкапсуляцию TDM-потоков в пакеты Ethernet (SAToP / CESoPSN), компенсацию джиттера и восстановление тактовой синхронизации в составе модульной платформы ДММП.</w:t>
      </w:r>
    </w:p>
    <w:p>
      <w:pPr>
        <w:pStyle w:val="Normal"/>
        <w:rPr>
          <w:lang w:val="ru-RU"/>
        </w:rPr>
      </w:pPr>
      <w:r>
        <w:rPr>
          <w:lang w:val="ru-RU"/>
        </w:rPr>
        <w:t>Состав разработки по данному ТЗ включает две неразрывные части: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Аппаратная часть:</w:t>
      </w:r>
      <w:r>
        <w:rPr>
          <w:lang w:val="ru-RU"/>
        </w:rPr>
        <w:t xml:space="preserve"> физическая печатная плата сменной мезонинной платы, устанавливаемая на базовый модуль </w:t>
      </w:r>
      <w:r>
        <w:rPr/>
        <w:t>AMC</w:t>
      </w:r>
      <w:r>
        <w:rPr>
          <w:lang w:val="ru-RU"/>
        </w:rPr>
        <w:t xml:space="preserve"> через разъем </w:t>
      </w:r>
      <w:r>
        <w:rPr/>
        <w:t>B</w:t>
      </w:r>
      <w:r>
        <w:rPr>
          <w:lang w:val="ru-RU"/>
        </w:rPr>
        <w:t>2</w:t>
      </w:r>
      <w:r>
        <w:rPr/>
        <w:t>B</w:t>
      </w:r>
      <w:r>
        <w:rPr>
          <w:lang w:val="ru-RU"/>
        </w:rPr>
        <w:t xml:space="preserve">, включающая входные интерфейсы, схемы защиты, трансиверы и микросхему </w:t>
      </w:r>
      <w:r>
        <w:rPr/>
        <w:t>EEPROM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Логическая часть (ПО Функционального модуля ПЛИС)</w:t>
      </w:r>
      <w:r>
        <w:rPr>
          <w:lang w:val="ru-RU"/>
        </w:rPr>
        <w:t xml:space="preserve">: специализированное функциональное Функциональный модуль обработки сигналов, </w:t>
      </w:r>
      <w:r>
        <w:rPr>
          <w:b/>
          <w:bCs/>
          <w:lang w:val="ru-RU"/>
        </w:rPr>
        <w:t xml:space="preserve">исполняемое в ПЛИС универсального базового модуля </w:t>
      </w:r>
      <w:r>
        <w:rPr>
          <w:b/>
          <w:bCs/>
        </w:rPr>
        <w:t>AMC</w:t>
      </w:r>
      <w:r>
        <w:rPr>
          <w:lang w:val="ru-RU"/>
        </w:rPr>
        <w:t>, подключаемое к внутренней шине ПЛИС при автоматическом обнаружении данной мезонинной платы.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Интерфейсный модуль AMC E1 предназначен для установки в посадочные места плат-носителей Carrier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прием и передачу восьми независимых цифровых потоков E1 со скоростью 2,048 Мбит/с каждый;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электрическое согласование, трансформаторную гальваническую развязку и многоступенчатую защиту линий E1;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аппаратное кодирование/декодирование HDB3 / AMI через трансиверы LIU;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прозрачную инкапсуляцию неструктурированных потоков E1 в Ethernet по стандарту SAToP (RFC 4553);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структурированную поканальную передачу тайм-слотов Nx64 кбит/с по стандарту CESoPSN (RFC 5086) с поддержкой кадрирования G.704, CRC-4 и сигнализации CAS/CCS;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адаптивную буферизацию (Jitter Buffer) для компенсации вариации сетевой задержки пакетов (PDV);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выделение тактовой частоты 2,048 МГц из входных потоков E1 и выдачу восстановленного сигнала синхронизации в тактовую сеть шасси;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непрерывный контроль аварийных состояний (LOS, LOF, AIS, RAI), счетчиков ошибок CRC-4, проскальзываний и расчет параметров качества по ITU-T G.826;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формирование диагностических петель (Line Loopback, Payload Loopback, Packet Loopback) и тестирование по псевдослучайной последовательности (PRBS / BER тест).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Модуль AMC E1 применяется в составе аппаратуры ДММП для подключения к существующим цифровым сетям связи TDM/SDH/PDH, телефонным станциям, системам диспетчеризации и АСУ ТП энергетических и промышленных предприятий.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Архитектурное построение и разделение ответственности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реализуется на базе сменной субплаты 8×E1, устанавливаемой на универсальную базовую плату AMC через межплатный соединитель B2B.</w:t>
      </w:r>
    </w:p>
    <w:p>
      <w:pPr>
        <w:pStyle w:val="Normal"/>
        <w:rPr>
          <w:lang w:val="ru-RU"/>
        </w:rPr>
      </w:pPr>
      <w:r>
        <w:rPr>
          <w:lang w:val="ru-RU"/>
        </w:rPr>
        <w:t>3.1.2. Субплата 8×E1 содержит: 8 экранированных разъемов на лицевой панели, цепи защиты от перенапряжений, импульсные трансформаторы развязки, восьмиканальный трансивер LIU, микросхему Board ID EEPROM и светодиодные индикаторы состояния портов.</w:t>
      </w:r>
    </w:p>
    <w:p>
      <w:pPr>
        <w:pStyle w:val="Normal"/>
        <w:rPr>
          <w:lang w:val="ru-RU"/>
        </w:rPr>
      </w:pPr>
      <w:r>
        <w:rPr>
          <w:lang w:val="ru-RU"/>
        </w:rPr>
        <w:t>3.1.3. Базовая плата AMC обеспечивает: электропитание (+12 В, +3,3 В), интеллектуальное управление MMC, тактирование и загрузку из Flash-памяти специализированного битового потока Функционального модуля E1 (автоматически выбираемого по коду Board ID).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Внешние физические интерфейсы E1 и разъемы лицевой панели</w:t>
      </w:r>
    </w:p>
    <w:p>
      <w:pPr>
        <w:pStyle w:val="Normal"/>
        <w:rPr>
          <w:lang w:val="ru-RU"/>
        </w:rPr>
      </w:pPr>
      <w:r>
        <w:rPr>
          <w:lang w:val="ru-RU"/>
        </w:rPr>
        <w:t>3.2.1. На лицевой панели субплаты размещаются 8 экранированных разъемов RJ-48C (гнезда 8P8C), по одному на каждый порт E1, промаркированных от E1-1 до E1-8.</w:t>
      </w:r>
    </w:p>
    <w:p>
      <w:pPr>
        <w:pStyle w:val="Normal"/>
        <w:rPr>
          <w:lang w:val="ru-RU"/>
        </w:rPr>
      </w:pPr>
      <w:r>
        <w:rPr>
          <w:lang w:val="ru-RU"/>
        </w:rPr>
        <w:t>3.2.2. Электрические параметры каждого порта: симметричный двухпарный интерфейс 120 Ом в строгом соответствии с маской импульса рекомендации ITU-T G.703 (скорость 2048 кбит/с ± 50 ppm, линейный код HDB3 или AMI).</w:t>
      </w:r>
    </w:p>
    <w:p>
      <w:pPr>
        <w:pStyle w:val="Normal"/>
        <w:rPr>
          <w:lang w:val="ru-RU"/>
        </w:rPr>
      </w:pPr>
      <w:r>
        <w:rPr>
          <w:lang w:val="ru-RU"/>
        </w:rPr>
        <w:t>3.2.3. Каждый порт должен иметь гальваническую трансформаторную изоляцию с напряжением пробоя не менее 1500 В (RMS, 50 Гц в течение 1 мин) и супрессорную защиту от импульсных перенапряжений и статических разрядов (ESD).</w:t>
      </w:r>
    </w:p>
    <w:p>
      <w:pPr>
        <w:pStyle w:val="Normal"/>
        <w:rPr>
          <w:lang w:val="ru-RU"/>
        </w:rPr>
      </w:pPr>
      <w:r>
        <w:rPr>
          <w:lang w:val="ru-RU"/>
        </w:rPr>
        <w:t>3.2.4. Короткое замыкание, обрыв или перепутывание пар в кабеле на одном порту не должны нарушать работу остальных портов и модуля в целом.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Режимы инкапсуляции TDM-over-Packet в Функциональном модуле ПЛИС</w:t>
      </w:r>
    </w:p>
    <w:p>
      <w:pPr>
        <w:pStyle w:val="Normal"/>
        <w:rPr>
          <w:lang w:val="ru-RU"/>
        </w:rPr>
      </w:pPr>
      <w:r>
        <w:rPr>
          <w:lang w:val="ru-RU"/>
        </w:rPr>
        <w:t>3.3.1. Функциональный модуль ПЛИС должно одновременно и независимо для каждого из 8 портов поддерживать два сервисных профиля: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А (SAToP по RFC 4553) — прозрачная инкапсуляция неструктурированного потока битов E1 в кадры Ethernet с минимальной аппаратной задержкой пакетизации (настраиваемый размер полезной нагрузки);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Б (CESoPSN по RFC 5086) — структурированная передача каналов Nx64 кбит/с с выделением тайм-слотов (TS1–TS31), контролем цикловой синхронизации (G.704), цикловой избыточности CRC-4 и поддержкой сигнальных каналов CAS (TS16) и CCS.</w:t>
      </w:r>
    </w:p>
    <w:p>
      <w:pPr>
        <w:pStyle w:val="Normal"/>
        <w:rPr>
          <w:lang w:val="ru-RU"/>
        </w:rPr>
      </w:pPr>
      <w:r>
        <w:rPr>
          <w:lang w:val="ru-RU"/>
        </w:rPr>
        <w:t>3.3.2. Передача TDM-пакетов через канал Fabric 10GbE базовой платы должна осуществляться с наивысшим приоритетом Strict Priority QoS, гарантируя отсутствие потерь пакетов и минимальную сквозную задержку коммутации.</w:t>
      </w:r>
    </w:p>
    <w:p>
      <w:pPr>
        <w:pStyle w:val="Normal"/>
        <w:rPr>
          <w:lang w:val="ru-RU"/>
        </w:rPr>
      </w:pPr>
      <w:r>
        <w:rPr>
          <w:lang w:val="ru-RU"/>
        </w:rPr>
        <w:t>3.3.3. Приемный тракт каждого E1-канала должен содержать конфигурируемый джиттер-буфер (Jitter Buffer) емкостью от 1 до 64 мс для компенсации сетевой вариации задержки пакетов (PDV).</w:t>
      </w:r>
    </w:p>
    <w:p>
      <w:pPr>
        <w:pStyle w:val="Normal"/>
        <w:rPr>
          <w:lang w:val="ru-RU"/>
        </w:rPr>
      </w:pPr>
      <w:r>
        <w:rPr>
          <w:lang w:val="ru-RU"/>
        </w:rPr>
        <w:t>3.3.4. При потере пакетов или аварии в пакетной сети приемный тракт должен автоматически генерировать в сторону выходной линии E1 аварийный сигнал AIS («все единицы») с предотвращением сбоев тактирования сопрягаемого оборудования.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Тактовая синхронизация и параметры джиттера</w:t>
      </w:r>
    </w:p>
    <w:p>
      <w:pPr>
        <w:pStyle w:val="Normal"/>
        <w:rPr>
          <w:lang w:val="ru-RU"/>
        </w:rPr>
      </w:pPr>
      <w:r>
        <w:rPr>
          <w:lang w:val="ru-RU"/>
        </w:rPr>
        <w:t>3.4.1. Для каждого передатчика E1 должен программно настраиваться один из следующих режимов тактирования: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синхронизация от системной тактовой частоты шасси (линии TCLK через базовую плату);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адаптивное восстановление тактовой частоты из входящего пакетного потока Ethernet (режим ACR);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автономное тактирование от локального генератора базовой платы (режим Free-run / Holdover);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сквозное тактирование от приемника соответствующего порта E1 (Loop timing).</w:t>
      </w:r>
    </w:p>
    <w:p>
      <w:pPr>
        <w:pStyle w:val="Normal"/>
        <w:rPr>
          <w:lang w:val="ru-RU"/>
        </w:rPr>
      </w:pPr>
      <w:r>
        <w:rPr>
          <w:lang w:val="ru-RU"/>
        </w:rPr>
        <w:t>3.4.2. Субплата 8×E1 должна обеспечивать выделение тактовой частоты 2,048 МГц из любого выбранного входного порта E1 и передачу ее через разъем B2B на базовую плату в качестве кандидата на системную синхронизацию шасси.</w:t>
      </w:r>
    </w:p>
    <w:p>
      <w:pPr>
        <w:pStyle w:val="Normal"/>
        <w:rPr>
          <w:lang w:val="ru-RU"/>
        </w:rPr>
      </w:pPr>
      <w:r>
        <w:rPr>
          <w:lang w:val="ru-RU"/>
        </w:rPr>
        <w:t>3.4.3. Выходной джиттер и вандер сформированного сигнала E1 должны удовлетворять требованиям рекомендации ITU-T G.823.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Аварийная сигнализация, диагностика и контроль качества</w:t>
      </w:r>
    </w:p>
    <w:p>
      <w:pPr>
        <w:pStyle w:val="Normal"/>
        <w:rPr>
          <w:lang w:val="ru-RU"/>
        </w:rPr>
      </w:pPr>
      <w:r>
        <w:rPr>
          <w:lang w:val="ru-RU"/>
        </w:rPr>
        <w:t>3.5.1. Функциональный модуль ПЛИС и трансиверы LIU должны непрерывно контролировать для каждого порта следующие аварийные состояния: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LOS (потеря входного сигнала);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LOF (потеря цикловой синхронизации в кадровом режиме);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AIS (прием аварийного сигнала «все единицы»);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RAI (прием сигнала удаленной аварии);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ошибки CRC-4, нарушения линейного кода HDB3 и проскальзывания циклов (Frame slips).</w:t>
      </w:r>
    </w:p>
    <w:p>
      <w:pPr>
        <w:pStyle w:val="Normal"/>
        <w:rPr>
          <w:lang w:val="ru-RU"/>
        </w:rPr>
      </w:pPr>
      <w:r>
        <w:rPr>
          <w:lang w:val="ru-RU"/>
        </w:rPr>
        <w:t>3.5.2. Модуль должен вести статистику показателей качества передачи по рекомендации ITU-T G.826: секунды с ошибками (ES), секунды, пораженные ошибками (SES), и периоды неготовности (UAS).</w:t>
      </w:r>
    </w:p>
    <w:p>
      <w:pPr>
        <w:pStyle w:val="Normal"/>
        <w:rPr>
          <w:lang w:val="ru-RU"/>
        </w:rPr>
      </w:pPr>
      <w:r>
        <w:rPr>
          <w:lang w:val="ru-RU"/>
        </w:rPr>
        <w:t>3.5.3. Для каждого порта E1 должны поддерживаться следующие режимы тестовых петель: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локальная линейная петля (Local Line Loopback);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внутренняя цифровая петля полезной нагрузки (Payload Loopback);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пакетная петля со стороны сети Ethernet (Packet Loopback).</w:t>
      </w:r>
    </w:p>
    <w:p>
      <w:pPr>
        <w:pStyle w:val="Normal"/>
        <w:rPr>
          <w:lang w:val="ru-RU"/>
        </w:rPr>
      </w:pPr>
      <w:r>
        <w:rPr>
          <w:lang w:val="ru-RU"/>
        </w:rPr>
        <w:t>3.5.4. В состав Функционального модуля должен входить встроенный генератор и анализатор псевдослучайных последовательностей (PRBS 2^15-1 / 2^23-1) для проведения автономных BER-тестов без внешнего прибора.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Механическая конструкция, сэндвич-сопряжение и охлаждение</w:t>
      </w:r>
    </w:p>
    <w:p>
      <w:pPr>
        <w:pStyle w:val="Normal"/>
        <w:rPr>
          <w:lang w:val="ru-RU"/>
        </w:rPr>
      </w:pPr>
      <w:r>
        <w:rPr>
          <w:lang w:val="ru-RU"/>
        </w:rPr>
        <w:t>3.6.1. Субплата 8×E1 механически устанавливается на базовую плату AMC, образуя единый сэндвич-модуль формата Single Full-size AMC.0.</w:t>
      </w:r>
    </w:p>
    <w:p>
      <w:pPr>
        <w:pStyle w:val="Normal"/>
        <w:rPr>
          <w:lang w:val="ru-RU"/>
        </w:rPr>
      </w:pPr>
      <w:r>
        <w:rPr>
          <w:lang w:val="ru-RU"/>
        </w:rPr>
        <w:t>3.6.2. Межплатная фиксация выполняется на 4–6 металлических резьбовых стойках М2,5 с винтовым креплением к общему лонжерону-теплоотводу и лицевой панели.</w:t>
      </w:r>
    </w:p>
    <w:p>
      <w:pPr>
        <w:pStyle w:val="Normal"/>
        <w:rPr>
          <w:lang w:val="ru-RU"/>
        </w:rPr>
      </w:pPr>
      <w:r>
        <w:rPr>
          <w:lang w:val="ru-RU"/>
        </w:rPr>
        <w:t>3.6.3. Размещение 8 разъемов RJ-48C на лицевой панели должно обеспечивать свободный доступ к защелкам кабелей, видимость светодиодов и сохранение сечения вентиляционных отверстий для охлаждения.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Электропитание, надежность и условия эксплуатации</w:t>
      </w:r>
    </w:p>
    <w:p>
      <w:pPr>
        <w:pStyle w:val="Normal"/>
        <w:rPr>
          <w:lang w:val="ru-RU"/>
        </w:rPr>
      </w:pPr>
      <w:r>
        <w:rPr>
          <w:lang w:val="ru-RU"/>
        </w:rPr>
        <w:t>3.7.1. Потребляемая мощность субплаты 8×E1 при всех активных портах не должна превышать 12 Вт (суммарная мощность сэндвича с базовой платой — не более 35 Вт).</w:t>
      </w:r>
    </w:p>
    <w:p>
      <w:pPr>
        <w:pStyle w:val="Normal"/>
        <w:rPr>
          <w:lang w:val="ru-RU"/>
        </w:rPr>
      </w:pPr>
      <w:r>
        <w:rPr>
          <w:lang w:val="ru-RU"/>
        </w:rPr>
        <w:t>3.7.2. По стойкости к механическим и климатическим воздействиям модуль в сборе должен соответствовать ГОСТ РВ 20.39.304-98 (группы 1.1, 1.3, 1.4.1 «О», рабочая температура от минус 10 до плюс 50 °С, предельная от минус 40 до плюс 65 °С, синусоидальная вибрация 5g, удары 15g).</w:t>
      </w:r>
    </w:p>
    <w:p>
      <w:pPr>
        <w:pStyle w:val="Normal"/>
        <w:rPr>
          <w:lang w:val="ru-RU"/>
        </w:rPr>
      </w:pPr>
      <w:r>
        <w:rPr>
          <w:lang w:val="ru-RU"/>
        </w:rPr>
        <w:t>3.7.3. По уровню радиопомех изделие должно удовлетворять требованиям группы 1.1.1 ГОСТ В 25803-91.</w:t>
      </w:r>
    </w:p>
    <w:p>
      <w:pPr>
        <w:pStyle w:val="Normal"/>
        <w:rPr>
          <w:lang w:val="ru-RU"/>
        </w:rPr>
      </w:pPr>
      <w:r>
        <w:rPr>
          <w:lang w:val="ru-RU"/>
        </w:rPr>
        <w:t>3.7.4. Наработка на отказ (MTBF) модуля AMC E1 должна составлять не менее 15 000 часов, назначенный срок службы — не менее 20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субплаты и Функционального модуля E1 должна выполняться в строгом соответствии со стандартами ITU-T G.703, G.704, G.823, G.826, RFC 4553, RFC 5086, PICMG AMC.0,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документации должны быть определены средства и методики измерений маски импульса E1, уровня джиттера/вандера, коэффициента битовых ошибок BER и задержки пакетизации.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Система встроенной диагностики должна обеспечивать регистрацию всех событий аварийных состояний (LOS, LOF, AIS, RAI), счетчиков ошибок и формирование отчетов для передачи в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Программное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изделия поставляются: битовый поток прошивки Функционального модуля E1 для Flash-памяти базовой платы AMC, драйверы интеграции с ОС Linux и MIB-структуры для SNMP/РМО.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субплаты приоритет должен отдаваться комплектующим и материалам отечественного производства с приемкой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субплата должна иметь маркировку децимального номера, ревизии, серийного номера и обозначения портов E1-1…E1-8. Индивидуальная тара должна обеспечивать защиту от электростатических разрядов (ESD).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Модуль AMC E1 передает в РМО (C++/Qt) данные телеметрии: мнемосхему 8 портов E1, текущий статус каналов (LOS/LOF/AIS/RAI), счетчики ошибок G.826, режим инкапсуляции (SAToP/CESoPSN) и статус источника тактирования.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>8.1.2. Модуль поддерживает дистанционные команды РМО: включение/отключение портов, изменение параметров буфера компенсации задержки, активация диагностических петель и запуск PRBS-тестирования.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6b46"/>
    <w:pPr>
      <w:widowControl/>
      <w:bidi w:val="0"/>
      <w:spacing w:lineRule="auto" w:line="264" w:before="0" w:after="0"/>
      <w:ind w:firstLine="720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f6b46"/>
    <w:pPr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f6b46"/>
    <w:pPr>
      <w:keepLines/>
      <w:spacing w:before="24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0f6b46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0f6b46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94189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41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94189"/>
    <w:pPr>
      <w:spacing w:before="0" w:after="100"/>
      <w:ind w:left="22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Application>LibreOffice/25.2.3.2$Linux_X86_64 LibreOffice_project/520$Build-2</Application>
  <AppVersion>15.0000</AppVersion>
  <Pages>11</Pages>
  <Words>1988</Words>
  <Characters>14866</Characters>
  <CharactersWithSpaces>16723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2026-10-02T03:03:51Z</dcterms:modified>
  <cp:revision>8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