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aff0"/>
        <w:tblW w:w="9360" w:type="dxa"/>
        <w:jc w:val="left"/>
        <w:tblInd w:w="0" w:type="dxa"/>
        <w:tblLayout w:type="fixed"/>
        <w:tblCellMar>
          <w:top w:w="95" w:type="dxa"/>
          <w:left w:w="120" w:type="dxa"/>
          <w:bottom w:w="95" w:type="dxa"/>
          <w:right w:w="120" w:type="dxa"/>
        </w:tblCellMar>
        <w:tblLook w:val="04a0" w:noHBand="0" w:noVBand="1" w:firstColumn="1" w:lastRow="0" w:lastColumn="0" w:firstRow="1"/>
      </w:tblPr>
      <w:tblGrid>
        <w:gridCol w:w="4680"/>
        <w:gridCol w:w="4679"/>
      </w:tblGrid>
      <w:tr>
        <w:trPr>
          <w:tblHeader w:val="true"/>
          <w:cantSplit w:val="true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52" w:before="0" w:after="0"/>
              <w:ind w:hanging="0"/>
              <w:rPr>
                <w:rFonts w:eastAsia="Calibri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УТВЕРЖДАЮ</w:t>
              <w:br/>
              <w:t xml:space="preserve">Директор </w:t>
            </w:r>
          </w:p>
          <w:p>
            <w:pPr>
              <w:pStyle w:val="Normal"/>
              <w:widowControl/>
              <w:spacing w:lineRule="auto" w:line="252" w:before="0" w:after="0"/>
              <w:ind w:hanging="0"/>
              <w:jc w:val="left"/>
              <w:rPr>
                <w:rFonts w:eastAsia="Calibri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 xml:space="preserve">ООО </w:t>
            </w: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тушканчик</w:t>
            </w: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br/>
              <w:t xml:space="preserve">________________  </w:t>
            </w: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фио</w:t>
            </w: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br/>
              <w:t>«___» __________ 2026 г.</w:t>
            </w:r>
          </w:p>
          <w:p>
            <w:pPr>
              <w:pStyle w:val="Normal"/>
              <w:widowControl/>
              <w:spacing w:lineRule="auto" w:line="252" w:before="0" w:after="0"/>
              <w:ind w:hanging="0"/>
              <w:jc w:val="left"/>
              <w:rPr>
                <w:rFonts w:eastAsia="Calibri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52" w:before="0" w:after="0"/>
              <w:ind w:hanging="0"/>
              <w:jc w:val="left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СОГЛАСОВАНО</w:t>
              <w:br/>
              <w:t xml:space="preserve">Директор ООО </w:t>
            </w: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нетушканчик</w:t>
            </w: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br/>
              <w:t>______________</w:t>
            </w: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фио</w:t>
            </w: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br/>
              <w:t>«___» __________ 2026 г.</w:t>
            </w:r>
          </w:p>
        </w:tc>
        <w:tc>
          <w:tcPr>
            <w:tcW w:w="467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52" w:before="0" w:after="0"/>
              <w:jc w:val="right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СОГЛАСОВАНО</w:t>
              <w:br/>
              <w:t xml:space="preserve">Главный конструктор ООО </w:t>
            </w: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тушкан</w:t>
            </w: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br/>
              <w:t xml:space="preserve">________________ </w:t>
            </w: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фио</w:t>
            </w: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br/>
              <w:t>«___» __________ 2026 г.</w:t>
            </w:r>
            <w:bookmarkStart w:id="0" w:name="_Hlk238025997"/>
            <w:bookmarkEnd w:id="0"/>
          </w:p>
        </w:tc>
      </w:tr>
    </w:tbl>
    <w:p>
      <w:pPr>
        <w:pStyle w:val="Normal"/>
        <w:spacing w:before="1440" w:after="160"/>
        <w:ind w:hanging="0"/>
        <w:jc w:val="center"/>
        <w:rPr>
          <w:rFonts w:cs="Times New Roman"/>
          <w:b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t>ТЕХНИЧЕСКОЕ ЗАДАНИЕ</w:t>
      </w:r>
    </w:p>
    <w:p>
      <w:pPr>
        <w:pStyle w:val="Normal"/>
        <w:spacing w:before="0" w:after="200"/>
        <w:jc w:val="center"/>
        <w:rPr>
          <w:rFonts w:cs="Times New Roman"/>
          <w:b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t>на выполнение части опытно-конструкторской работы</w:t>
      </w:r>
    </w:p>
    <w:p>
      <w:pPr>
        <w:pStyle w:val="Normal"/>
        <w:spacing w:before="0" w:after="240"/>
        <w:jc w:val="center"/>
        <w:rPr>
          <w:rFonts w:cs="Times New Roman"/>
          <w:b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t>«Разработка сменной интерфейсной субплаты E2/E3 и функционального программного Функционального модуля PDH для универсального базового модуля AMC семейства устройств ДММП»</w:t>
      </w:r>
    </w:p>
    <w:p>
      <w:pPr>
        <w:pStyle w:val="Normal"/>
        <w:spacing w:before="0" w:after="240"/>
        <w:jc w:val="center"/>
        <w:rPr>
          <w:rFonts w:cs="Times New Roman"/>
          <w:b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t>Шифр ОКР: Развитие-ТСА</w:t>
      </w:r>
    </w:p>
    <w:tbl>
      <w:tblPr>
        <w:tblStyle w:val="aff0"/>
        <w:tblW w:w="9360" w:type="dxa"/>
        <w:jc w:val="left"/>
        <w:tblInd w:w="0" w:type="dxa"/>
        <w:tblLayout w:type="fixed"/>
        <w:tblCellMar>
          <w:top w:w="95" w:type="dxa"/>
          <w:left w:w="120" w:type="dxa"/>
          <w:bottom w:w="95" w:type="dxa"/>
          <w:right w:w="120" w:type="dxa"/>
        </w:tblCellMar>
        <w:tblLook w:val="04a0" w:noHBand="0" w:noVBand="1" w:firstColumn="1" w:lastRow="0" w:lastColumn="0" w:firstRow="1"/>
      </w:tblPr>
      <w:tblGrid>
        <w:gridCol w:w="4680"/>
        <w:gridCol w:w="4679"/>
      </w:tblGrid>
      <w:tr>
        <w:trPr>
          <w:tblHeader w:val="true"/>
          <w:cantSplit w:val="true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52" w:before="0" w:after="0"/>
              <w:ind w:firstLine="22"/>
              <w:jc w:val="left"/>
              <w:rPr>
                <w:rFonts w:eastAsia="Calibri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СОГЛАСОВАНО</w:t>
              <w:br/>
              <w:t>Начальник лаборатории</w:t>
            </w:r>
          </w:p>
          <w:p>
            <w:pPr>
              <w:pStyle w:val="Normal"/>
              <w:widowControl/>
              <w:spacing w:lineRule="auto" w:line="252" w:before="0" w:after="0"/>
              <w:ind w:firstLine="22"/>
              <w:jc w:val="left"/>
              <w:rPr>
                <w:rFonts w:eastAsia="Calibri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 xml:space="preserve">ООО </w:t>
            </w: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нетушканчик</w:t>
            </w: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br/>
              <w:t xml:space="preserve">________________  </w:t>
            </w: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фио</w:t>
            </w: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br/>
              <w:t>«___» __________ 2026 г.</w:t>
            </w:r>
          </w:p>
          <w:p>
            <w:pPr>
              <w:pStyle w:val="Normal"/>
              <w:widowControl/>
              <w:spacing w:lineRule="auto" w:line="252" w:before="0" w:after="0"/>
              <w:ind w:firstLine="22"/>
              <w:jc w:val="left"/>
              <w:rPr>
                <w:rFonts w:eastAsia="Calibri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52" w:before="0" w:after="0"/>
              <w:ind w:firstLine="22"/>
              <w:jc w:val="left"/>
              <w:rPr>
                <w:rFonts w:eastAsia="Calibri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СОГЛАСОВАНО</w:t>
              <w:br/>
              <w:t xml:space="preserve">Начальник </w:t>
            </w: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пупупу</w:t>
            </w:r>
          </w:p>
          <w:p>
            <w:pPr>
              <w:pStyle w:val="Normal"/>
              <w:widowControl/>
              <w:spacing w:lineRule="auto" w:line="252" w:before="0" w:after="0"/>
              <w:ind w:firstLine="22"/>
              <w:jc w:val="left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 xml:space="preserve">ООО </w:t>
            </w: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тушканчик</w:t>
            </w: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br/>
              <w:t xml:space="preserve">________________  </w:t>
            </w: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фио</w:t>
            </w: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br/>
              <w:t>«___» __________ 2026 г.</w:t>
            </w:r>
          </w:p>
        </w:tc>
        <w:tc>
          <w:tcPr>
            <w:tcW w:w="46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252" w:before="0" w:after="0"/>
              <w:jc w:val="right"/>
              <w:rPr>
                <w:rFonts w:eastAsia="Calibri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52" w:before="0" w:after="0"/>
              <w:jc w:val="right"/>
              <w:rPr>
                <w:rFonts w:eastAsia="Calibri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СОСТАВИЛ</w:t>
              <w:br/>
              <w:t>Ведущий инженер-системотехник</w:t>
            </w:r>
          </w:p>
          <w:p>
            <w:pPr>
              <w:pStyle w:val="Normal"/>
              <w:widowControl/>
              <w:spacing w:lineRule="auto" w:line="252" w:before="0" w:after="0"/>
              <w:jc w:val="right"/>
              <w:rPr>
                <w:rFonts w:cs="Times New Roman"/>
                <w:sz w:val="28"/>
                <w:szCs w:val="28"/>
                <w:lang w:val="ru-RU"/>
              </w:rPr>
            </w:pPr>
            <w:bookmarkStart w:id="1" w:name="_Hlk238025344"/>
            <w:bookmarkEnd w:id="1"/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 xml:space="preserve">ООО </w:t>
            </w: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тушканчик</w:t>
            </w: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br/>
              <w:t xml:space="preserve">________________ </w:t>
            </w: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фио</w:t>
            </w: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br/>
              <w:t>«___» __________ 2026 г.</w:t>
            </w:r>
          </w:p>
        </w:tc>
      </w:tr>
    </w:tbl>
    <w:p>
      <w:pPr>
        <w:pStyle w:val="Normal"/>
        <w:spacing w:before="0" w:after="240"/>
        <w:jc w:val="center"/>
        <w:rPr>
          <w:rFonts w:cs="Times New Roman"/>
          <w:b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</w:r>
    </w:p>
    <w:p>
      <w:pPr>
        <w:pStyle w:val="Normal"/>
        <w:spacing w:before="0" w:after="720"/>
        <w:jc w:val="center"/>
        <w:rPr>
          <w:rFonts w:cs="Times New Roman"/>
          <w:szCs w:val="24"/>
          <w:lang w:val="ru-RU"/>
        </w:rPr>
      </w:pPr>
      <w:r>
        <w:rPr>
          <w:rFonts w:cs="Times New Roman"/>
          <w:szCs w:val="24"/>
          <w:lang w:val="ru-RU"/>
        </w:rPr>
        <w:t>2026</w:t>
      </w:r>
      <w:r>
        <w:br w:type="page"/>
      </w:r>
    </w:p>
    <w:p>
      <w:pPr>
        <w:pStyle w:val="Heading1"/>
        <w:spacing w:before="0" w:after="120"/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cs="Times New Roman" w:ascii="Times New Roman" w:hAnsi="Times New Roman"/>
          <w:sz w:val="28"/>
          <w:lang w:val="ru-RU"/>
        </w:rPr>
        <w:t>ЛИСТ СОГЛАСОВАНИЯ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ООО тушканчик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rFonts w:eastAsia="Calibri" w:cs="Times New Roman"/>
          <w:sz w:val="28"/>
          <w:szCs w:val="28"/>
          <w:lang w:val="ru-RU"/>
        </w:rPr>
        <w:t>ООО «актушкан»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ООО ТВК река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pacing w:lineRule="auto" w:line="276" w:before="0" w:after="200"/>
        <w:ind w:hanging="0"/>
        <w:jc w:val="left"/>
        <w:rPr>
          <w:rFonts w:eastAsia="ＭＳ ゴシック" w:cs="Times New Roman" w:eastAsiaTheme="majorEastAsia"/>
          <w:b/>
          <w:bCs/>
          <w:color w:themeColor="text1" w:val="000000"/>
          <w:sz w:val="28"/>
          <w:szCs w:val="28"/>
          <w:lang w:val="ru-RU"/>
        </w:rPr>
      </w:pPr>
      <w:r>
        <w:rPr>
          <w:rFonts w:eastAsia="ＭＳ ゴシック" w:cs="Times New Roman" w:eastAsiaTheme="majorEastAsia"/>
          <w:b/>
          <w:bCs/>
          <w:color w:themeColor="text1" w:val="000000"/>
          <w:sz w:val="28"/>
          <w:szCs w:val="28"/>
          <w:lang w:val="ru-RU"/>
        </w:rPr>
      </w:r>
      <w:r>
        <w:br w:type="page"/>
      </w:r>
    </w:p>
    <w:p>
      <w:pPr>
        <w:pStyle w:val="Heading1"/>
        <w:spacing w:before="0" w:after="120"/>
        <w:rPr>
          <w:rFonts w:ascii="Times New Roman" w:hAnsi="Times New Roman" w:cs="Times New Roman"/>
          <w:sz w:val="28"/>
          <w:lang w:val="ru-RU"/>
        </w:rPr>
      </w:pPr>
      <w:r>
        <w:rPr>
          <w:rFonts w:cs="Times New Roman" w:ascii="Times New Roman" w:hAnsi="Times New Roman"/>
          <w:sz w:val="28"/>
          <w:lang w:val="ru-RU"/>
        </w:rPr>
        <w:t>Обозначения и сокращения</w:t>
      </w:r>
    </w:p>
    <w:p>
      <w:pPr>
        <w:pStyle w:val="Normal"/>
        <w:rPr>
          <w:lang w:val="ru-RU"/>
        </w:rPr>
      </w:pPr>
      <w:r>
        <w:rPr>
          <w:lang w:val="ru-RU"/>
        </w:rPr>
        <w:t>В настоящем документе применяют следующие обозначения и сокращения: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E2 (E22)</w:t>
      </w:r>
      <w:r>
        <w:rPr>
          <w:lang w:val="ru-RU"/>
        </w:rPr>
        <w:t xml:space="preserve"> — цифровой интерфейс со скоростью 8448 кбит/с по ITU-T G.703 (75 Ом, HDB3);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E3 (E31)</w:t>
      </w:r>
      <w:r>
        <w:rPr>
          <w:lang w:val="ru-RU"/>
        </w:rPr>
        <w:t xml:space="preserve"> — цифровой интерфейс со скоростью 34 368 кбит/с по ITU-T G.703 (75 Ом, HDB3);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PDH (Plesiochronous Digital Hierarchy)</w:t>
      </w:r>
      <w:r>
        <w:rPr>
          <w:lang w:val="ru-RU"/>
        </w:rPr>
        <w:t xml:space="preserve"> — плезиохронная цифровая иерархия (ITU-T G.702 / G.703);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SAToP (Structure-Agnostic TDM over Packet)</w:t>
      </w:r>
      <w:r>
        <w:rPr>
          <w:lang w:val="ru-RU"/>
        </w:rPr>
        <w:t xml:space="preserve"> — прозрачная передача потока TDM по пакетной сети Ethernet (RFC 4553);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E2oP</w:t>
      </w:r>
      <w:r>
        <w:rPr>
          <w:lang w:val="ru-RU"/>
        </w:rPr>
        <w:t xml:space="preserve"> — внутренний профиль прозрачной передачи потока E2 8448 кбит/с по пакетной сети Ethernet;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Субплата E2/E3</w:t>
      </w:r>
      <w:r>
        <w:rPr>
          <w:lang w:val="ru-RU"/>
        </w:rPr>
        <w:t xml:space="preserve"> — сменная плата физических коаксиальных интерфейсов E2 и E3, устанавливаемая на базовую плату AMC;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Базовая плата AMC</w:t>
      </w:r>
      <w:r>
        <w:rPr>
          <w:lang w:val="ru-RU"/>
        </w:rPr>
        <w:t xml:space="preserve"> — универсальная цифровая несущая плата мезонина AMC с вычислительным узлом на базе ПЛИС;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Функциональный модлуь PDH (FPGA IP Core)</w:t>
      </w:r>
      <w:r>
        <w:rPr>
          <w:lang w:val="ru-RU"/>
        </w:rPr>
        <w:t xml:space="preserve"> — функциональный программный RTL-блок прошивки ПЛИС базовой платы для обработки потоков E2/E3;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HARTING PushPull (09452812560)</w:t>
      </w:r>
      <w:r>
        <w:rPr>
          <w:lang w:val="ru-RU"/>
        </w:rPr>
        <w:t xml:space="preserve"> — промышленный экранированный вибростойкий соединитель с замковой фиксацией PushPull;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LIU (Line Interface Unit)</w:t>
      </w:r>
      <w:r>
        <w:rPr>
          <w:lang w:val="ru-RU"/>
        </w:rPr>
        <w:t xml:space="preserve"> — линейный приемопередатчик интерфейсов E2/E3;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B2B (Board-to-Board)</w:t>
      </w:r>
      <w:r>
        <w:rPr>
          <w:lang w:val="ru-RU"/>
        </w:rPr>
        <w:t xml:space="preserve"> — стандартизованный межплатный соединитель сопряжения базовой платы и субплаты;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Board ID</w:t>
      </w:r>
      <w:r>
        <w:rPr>
          <w:lang w:val="ru-RU"/>
        </w:rPr>
        <w:t xml:space="preserve"> — аппаратный идентификатор типа установленной субплаты в памяти I2C EEPROM;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LOS (Loss of Signal)</w:t>
      </w:r>
      <w:r>
        <w:rPr>
          <w:lang w:val="ru-RU"/>
        </w:rPr>
        <w:t xml:space="preserve"> — состояние потери входного линейного сигнала;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AIS (Alarm Indication Signal)</w:t>
      </w:r>
      <w:r>
        <w:rPr>
          <w:lang w:val="ru-RU"/>
        </w:rPr>
        <w:t xml:space="preserve"> — сигнал индикации аварии («все единицы»);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BPV/CV (Bipolar Violation / Code Violation)</w:t>
      </w:r>
      <w:r>
        <w:rPr>
          <w:lang w:val="ru-RU"/>
        </w:rPr>
        <w:t xml:space="preserve"> — нарушения биполярного кодирования HDB3;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BER (Bit Error Rate)</w:t>
      </w:r>
      <w:r>
        <w:rPr>
          <w:lang w:val="ru-RU"/>
        </w:rPr>
        <w:t xml:space="preserve"> — коэффициент битовых ошибок;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РМО</w:t>
      </w:r>
      <w:r>
        <w:rPr>
          <w:lang w:val="ru-RU"/>
        </w:rPr>
        <w:t xml:space="preserve"> — рабочее место оператора (программный комплекс визуализации и диспетчеризации);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ОКР</w:t>
      </w:r>
      <w:r>
        <w:rPr>
          <w:lang w:val="ru-RU"/>
        </w:rPr>
        <w:t xml:space="preserve"> — опытно-конструкторская работа;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РКД</w:t>
      </w:r>
      <w:r>
        <w:rPr>
          <w:lang w:val="ru-RU"/>
        </w:rPr>
        <w:t xml:space="preserve"> — рабочая конструкторская документация;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ПМИ</w:t>
      </w:r>
      <w:r>
        <w:rPr>
          <w:lang w:val="ru-RU"/>
        </w:rPr>
        <w:t xml:space="preserve"> — программа и методики испытаний.</w:t>
      </w:r>
    </w:p>
    <w:p>
      <w:pPr>
        <w:pStyle w:val="Normal"/>
        <w:spacing w:lineRule="auto" w:line="276" w:before="0" w:after="200"/>
        <w:ind w:hanging="0"/>
        <w:jc w:val="left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Heading1"/>
        <w:spacing w:before="0" w:after="120"/>
        <w:rPr>
          <w:rFonts w:ascii="Times New Roman" w:hAnsi="Times New Roman" w:cs="Times New Roman"/>
          <w:sz w:val="28"/>
          <w:lang w:val="ru-RU"/>
        </w:rPr>
      </w:pPr>
      <w:r>
        <w:rPr>
          <w:rFonts w:cs="Times New Roman" w:ascii="Times New Roman" w:hAnsi="Times New Roman"/>
          <w:sz w:val="28"/>
          <w:lang w:val="ru-RU"/>
        </w:rPr>
        <w:t>Применимые нормативные и справочные документы</w:t>
      </w:r>
    </w:p>
    <w:p>
      <w:pPr>
        <w:pStyle w:val="Normal"/>
        <w:rPr>
          <w:lang w:val="ru-RU"/>
        </w:rPr>
      </w:pPr>
      <w:r>
        <w:rPr>
          <w:lang w:val="ru-RU"/>
        </w:rPr>
        <w:t>При разработке субплаты E2/E3 и Функционального модуля PDH применяются следующие стандарты и рекомендации:</w:t>
      </w:r>
    </w:p>
    <w:p>
      <w:pPr>
        <w:pStyle w:val="Normal"/>
        <w:rPr/>
      </w:pPr>
      <w:r>
        <w:rPr>
          <w:b/>
        </w:rPr>
        <w:t>ITU-T G.703</w:t>
      </w:r>
      <w:r>
        <w:rPr/>
        <w:t xml:space="preserve"> — Physical/electrical characteristics of hierarchical digital interfaces (</w:t>
      </w:r>
      <w:r>
        <w:rPr>
          <w:lang w:val="ru-RU"/>
        </w:rPr>
        <w:t>параметры</w:t>
      </w:r>
      <w:r>
        <w:rPr/>
        <w:t xml:space="preserve"> </w:t>
      </w:r>
      <w:r>
        <w:rPr>
          <w:lang w:val="ru-RU"/>
        </w:rPr>
        <w:t>стыков</w:t>
      </w:r>
      <w:r>
        <w:rPr/>
        <w:t xml:space="preserve"> E2 8448 </w:t>
      </w:r>
      <w:r>
        <w:rPr>
          <w:lang w:val="ru-RU"/>
        </w:rPr>
        <w:t>кбит</w:t>
      </w:r>
      <w:r>
        <w:rPr/>
        <w:t>/</w:t>
      </w:r>
      <w:r>
        <w:rPr>
          <w:lang w:val="ru-RU"/>
        </w:rPr>
        <w:t>с</w:t>
      </w:r>
      <w:r>
        <w:rPr/>
        <w:t xml:space="preserve"> </w:t>
      </w:r>
      <w:r>
        <w:rPr>
          <w:lang w:val="ru-RU"/>
        </w:rPr>
        <w:t>и</w:t>
      </w:r>
      <w:r>
        <w:rPr/>
        <w:t xml:space="preserve"> E3 34 368 </w:t>
      </w:r>
      <w:r>
        <w:rPr>
          <w:lang w:val="ru-RU"/>
        </w:rPr>
        <w:t>кбит</w:t>
      </w:r>
      <w:r>
        <w:rPr/>
        <w:t>/</w:t>
      </w:r>
      <w:r>
        <w:rPr>
          <w:lang w:val="ru-RU"/>
        </w:rPr>
        <w:t>с</w:t>
      </w:r>
      <w:r>
        <w:rPr/>
        <w:t xml:space="preserve">, 75 </w:t>
      </w:r>
      <w:r>
        <w:rPr>
          <w:lang w:val="ru-RU"/>
        </w:rPr>
        <w:t>Ом</w:t>
      </w:r>
      <w:r>
        <w:rPr/>
        <w:t>);</w:t>
      </w:r>
    </w:p>
    <w:p>
      <w:pPr>
        <w:pStyle w:val="Normal"/>
        <w:rPr/>
      </w:pPr>
      <w:r>
        <w:rPr>
          <w:b/>
        </w:rPr>
        <w:t>ITU-T G.704</w:t>
      </w:r>
      <w:r>
        <w:rPr/>
        <w:t xml:space="preserve"> — Synchronous frame structures used at hierarchical levels;</w:t>
      </w:r>
    </w:p>
    <w:p>
      <w:pPr>
        <w:pStyle w:val="Normal"/>
        <w:rPr/>
      </w:pPr>
      <w:r>
        <w:rPr>
          <w:b/>
        </w:rPr>
        <w:t>ITU-T G.742 / G.751</w:t>
      </w:r>
      <w:r>
        <w:rPr/>
        <w:t xml:space="preserve"> — Second and third order digital multiplex equipments operating at 8448 kbit/s and 34368 kbit/s;</w:t>
      </w:r>
    </w:p>
    <w:p>
      <w:pPr>
        <w:pStyle w:val="Normal"/>
        <w:rPr/>
      </w:pPr>
      <w:r>
        <w:rPr>
          <w:b/>
        </w:rPr>
        <w:t>ITU-T G.823</w:t>
      </w:r>
      <w:r>
        <w:rPr/>
        <w:t xml:space="preserve"> — The control of jitter and wander within digital networks which are based on the 2048 kbit/s hierarchy;</w:t>
      </w:r>
    </w:p>
    <w:p>
      <w:pPr>
        <w:pStyle w:val="Normal"/>
        <w:rPr/>
      </w:pPr>
      <w:r>
        <w:rPr>
          <w:b/>
        </w:rPr>
        <w:t>RFC 4553</w:t>
      </w:r>
      <w:r>
        <w:rPr/>
        <w:t xml:space="preserve"> — Structure-Agnostic Time Division Multiplexing (TDM) over Packet (SAToP);</w:t>
      </w:r>
    </w:p>
    <w:p>
      <w:pPr>
        <w:pStyle w:val="Normal"/>
        <w:rPr/>
      </w:pPr>
      <w:r>
        <w:rPr>
          <w:b/>
        </w:rPr>
        <w:t>RFC 5086</w:t>
      </w:r>
      <w:r>
        <w:rPr/>
        <w:t xml:space="preserve"> — Structure-Aware Time Division Multiplexed (TDM) Circuit Emulation Service over Packet Switched Network (CESoPSN);</w:t>
      </w:r>
    </w:p>
    <w:p>
      <w:pPr>
        <w:pStyle w:val="Normal"/>
        <w:rPr/>
      </w:pPr>
      <w:r>
        <w:rPr>
          <w:b/>
        </w:rPr>
        <w:t>PICMG AMC.0 R2.0</w:t>
      </w:r>
      <w:r>
        <w:rPr/>
        <w:t xml:space="preserve"> — Advanced Mezzanine Card Base Specification;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ГОСТ РВ 20.39.304-98</w:t>
      </w:r>
      <w:r>
        <w:rPr>
          <w:lang w:val="ru-RU"/>
        </w:rPr>
        <w:t xml:space="preserve"> — Комплексная система общих технических требований. Аппаратура, приборы, устройства и оборудование военного назначения. Требования стойкости к внешним воздействующим факторам;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ГОСТ В 25803-91</w:t>
      </w:r>
      <w:r>
        <w:rPr>
          <w:lang w:val="ru-RU"/>
        </w:rPr>
        <w:t xml:space="preserve"> — Радиопомехи индустриальные от оборудования военного назначения. Нормы и методы испытаний;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ГОСТ 2.114-2016</w:t>
      </w:r>
      <w:r>
        <w:rPr>
          <w:lang w:val="ru-RU"/>
        </w:rPr>
        <w:t xml:space="preserve"> — Единая система конструкторской документации. Технические условия;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ГОСТ РВ 15.201-2003</w:t>
      </w:r>
      <w:r>
        <w:rPr>
          <w:lang w:val="ru-RU"/>
        </w:rPr>
        <w:t xml:space="preserve"> — Система разработки и постановки продукции на производство. Военная техника. Тактико-техническое (техническое) задание на выполнение опытно-конструкторских работ.</w:t>
      </w:r>
    </w:p>
    <w:p>
      <w:pPr>
        <w:pStyle w:val="Normal"/>
        <w:spacing w:lineRule="auto" w:line="276" w:before="0" w:after="200"/>
        <w:ind w:hanging="0"/>
        <w:jc w:val="left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Heading1"/>
        <w:spacing w:before="0" w:after="120"/>
        <w:rPr>
          <w:rFonts w:ascii="Times New Roman" w:hAnsi="Times New Roman" w:cs="Times New Roman"/>
          <w:sz w:val="28"/>
          <w:lang w:val="ru-RU"/>
        </w:rPr>
      </w:pPr>
      <w:r>
        <w:rPr>
          <w:rFonts w:cs="Times New Roman" w:ascii="Times New Roman" w:hAnsi="Times New Roman"/>
          <w:sz w:val="28"/>
          <w:lang w:val="ru-RU"/>
        </w:rPr>
        <w:t>1. Наименование, шифр, основание, исполнители и сроки ОКР</w:t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1.1. Наименование</w:t>
      </w:r>
    </w:p>
    <w:p>
      <w:pPr>
        <w:pStyle w:val="Normal"/>
        <w:rPr>
          <w:lang w:val="ru-RU"/>
        </w:rPr>
      </w:pPr>
      <w:r>
        <w:rPr>
          <w:lang w:val="ru-RU"/>
        </w:rPr>
        <w:t>Полное наименование составной части ОКР: «Разработка сменной интерфейсной субплаты E2/E3 и функционального программного Функционального модуля PDH для универсального базового модуля AMC семейства устройств ДММП».</w:t>
      </w:r>
    </w:p>
    <w:p>
      <w:pPr>
        <w:pStyle w:val="Normal"/>
        <w:rPr>
          <w:lang w:val="ru-RU"/>
        </w:rPr>
      </w:pPr>
      <w:r>
        <w:rPr>
          <w:lang w:val="ru-RU"/>
        </w:rPr>
        <w:t>Разрабатываемое изделие далее по тексту именуется интерфейсным модулем AMC E2/E3 или субплатой E2/E3.</w:t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1.2. Шифр</w:t>
      </w:r>
    </w:p>
    <w:p>
      <w:pPr>
        <w:pStyle w:val="Normal"/>
        <w:rPr>
          <w:lang w:val="ru-RU"/>
        </w:rPr>
      </w:pPr>
      <w:r>
        <w:rPr>
          <w:lang w:val="ru-RU"/>
        </w:rPr>
        <w:t>Шифр ОКР — «Развитие-ТСА».</w:t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1.3. Основание выполнения</w:t>
      </w:r>
    </w:p>
    <w:p>
      <w:pPr>
        <w:pStyle w:val="Normal"/>
        <w:rPr>
          <w:lang w:val="ru-RU"/>
        </w:rPr>
      </w:pPr>
      <w:r>
        <w:rPr>
          <w:lang w:val="ru-RU"/>
        </w:rPr>
        <w:t>Основание выполнения ОКР — приказ об открытии инициативной опытно-конструкторской работы «Развитие-ТСА» № _____ от __________.</w:t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1.4. Исполнитель</w:t>
      </w:r>
    </w:p>
    <w:p>
      <w:pPr>
        <w:pStyle w:val="Normal"/>
        <w:rPr>
          <w:lang w:val="ru-RU"/>
        </w:rPr>
      </w:pPr>
      <w:r>
        <w:rPr>
          <w:lang w:val="ru-RU"/>
        </w:rPr>
        <w:t>Исполнителем ОКР является ООО тушканчик.</w:t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1.5. Срок выполнения</w:t>
      </w:r>
    </w:p>
    <w:p>
      <w:pPr>
        <w:pStyle w:val="Normal"/>
        <w:rPr>
          <w:lang w:val="ru-RU"/>
        </w:rPr>
      </w:pPr>
      <w:r>
        <w:rPr>
          <w:lang w:val="ru-RU"/>
        </w:rPr>
        <w:t>Срок выполнения ОКР определяется согласно утверждённому плану-графику разработки рабочей конструкторской и программной документации, изготовления опытных образцов и проведения испытаний.</w:t>
      </w:r>
    </w:p>
    <w:p>
      <w:pPr>
        <w:pStyle w:val="Normal"/>
        <w:spacing w:lineRule="auto" w:line="276" w:before="0" w:after="200"/>
        <w:ind w:hanging="0"/>
        <w:jc w:val="left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Heading1"/>
        <w:spacing w:before="0" w:after="120"/>
        <w:rPr>
          <w:rFonts w:ascii="Times New Roman" w:hAnsi="Times New Roman" w:cs="Times New Roman"/>
          <w:sz w:val="28"/>
          <w:lang w:val="ru-RU"/>
        </w:rPr>
      </w:pPr>
      <w:r>
        <w:rPr>
          <w:rFonts w:cs="Times New Roman" w:ascii="Times New Roman" w:hAnsi="Times New Roman"/>
          <w:sz w:val="28"/>
          <w:lang w:val="ru-RU"/>
        </w:rPr>
        <w:t>2. Цель выполнения, наименование, назначение и область применения изделия</w:t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2.1. Цель ОКР</w:t>
      </w:r>
    </w:p>
    <w:p>
      <w:pPr>
        <w:pStyle w:val="Normal"/>
        <w:rPr>
          <w:lang w:val="ru-RU"/>
        </w:rPr>
      </w:pPr>
      <w:r>
        <w:rPr>
          <w:lang w:val="ru-RU"/>
        </w:rPr>
        <w:t>Целью работы является создание сменной интерфейсной субплаты коаксиальных портов E2/E3 с 3 вибростойкими промышленными экранированными разъемами HARTING PushPull (09452812560) и программного Функционального модуля ПЛИС, обеспечивающих прием и передачу двух независимых потоков E2 (8,448 Мбит/с) и одного потока E3 (34,368 Мбит/с), двунаправленную инкапсуляцию TDM-over-Packet (SAToP / E2oP), джиттер-буферизацию и тактовую синхронизацию в составе платформы ДММП.</w:t>
      </w:r>
    </w:p>
    <w:p>
      <w:pPr>
        <w:pStyle w:val="Normal"/>
        <w:rPr>
          <w:lang w:val="ru-RU"/>
        </w:rPr>
      </w:pPr>
      <w:r>
        <w:rPr>
          <w:lang w:val="ru-RU"/>
        </w:rPr>
        <w:t>Состав разработки по данному ТЗ включает две неразрывные части: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- </w:t>
      </w:r>
      <w:r>
        <w:rPr>
          <w:b/>
          <w:bCs/>
          <w:lang w:val="ru-RU"/>
        </w:rPr>
        <w:t>Аппаратная часть:</w:t>
      </w:r>
      <w:r>
        <w:rPr>
          <w:lang w:val="ru-RU"/>
        </w:rPr>
        <w:t xml:space="preserve"> физическая печатная плата сменной мезонинной платы, устанавливаемая на базовый модуль </w:t>
      </w:r>
      <w:r>
        <w:rPr/>
        <w:t>AMC</w:t>
      </w:r>
      <w:r>
        <w:rPr>
          <w:lang w:val="ru-RU"/>
        </w:rPr>
        <w:t xml:space="preserve"> через разъем </w:t>
      </w:r>
      <w:r>
        <w:rPr/>
        <w:t>B</w:t>
      </w:r>
      <w:r>
        <w:rPr>
          <w:lang w:val="ru-RU"/>
        </w:rPr>
        <w:t>2</w:t>
      </w:r>
      <w:r>
        <w:rPr/>
        <w:t>B</w:t>
      </w:r>
      <w:r>
        <w:rPr>
          <w:lang w:val="ru-RU"/>
        </w:rPr>
        <w:t xml:space="preserve">, включающая входные интерфейсы, схемы защиты, трансиверы и микросхему </w:t>
      </w:r>
      <w:r>
        <w:rPr/>
        <w:t>EEPROM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- </w:t>
      </w:r>
      <w:r>
        <w:rPr>
          <w:b/>
          <w:bCs/>
          <w:lang w:val="ru-RU"/>
        </w:rPr>
        <w:t>Логическая часть (ПО Функционального модуля ПЛИС)</w:t>
      </w:r>
      <w:r>
        <w:rPr>
          <w:lang w:val="ru-RU"/>
        </w:rPr>
        <w:t xml:space="preserve">: специализированное функциональное Функциональный модлуь обработки сигналов, </w:t>
      </w:r>
      <w:r>
        <w:rPr>
          <w:b/>
          <w:bCs/>
          <w:lang w:val="ru-RU"/>
        </w:rPr>
        <w:t xml:space="preserve">исполняемое в ПЛИС универсального базового модуля </w:t>
      </w:r>
      <w:r>
        <w:rPr>
          <w:b/>
          <w:bCs/>
        </w:rPr>
        <w:t>AMC</w:t>
      </w:r>
      <w:r>
        <w:rPr>
          <w:lang w:val="ru-RU"/>
        </w:rPr>
        <w:t>, подключаемое к внутренней шине ПЛИС при автоматическом обнаружении данной мезонинной платы.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2.2. Назначение</w:t>
      </w:r>
    </w:p>
    <w:p>
      <w:pPr>
        <w:pStyle w:val="Normal"/>
        <w:rPr>
          <w:lang w:val="ru-RU"/>
        </w:rPr>
      </w:pPr>
      <w:r>
        <w:rPr>
          <w:lang w:val="ru-RU"/>
        </w:rPr>
        <w:t>Интерфейсный модуль AMC E2/E3 предназначен для установки в посадочные места плат-носителей Carrier и обеспечивает: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прием и передачу двух независимых потоков E2 со скоростью 8,448 Мбит/с (75 Ом, HDB3) по рекомендациям ITU-T G.703 / G.704;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прием и передачу одного независимого потока E3 со скоростью 34,368 Мбит/с (75 Ом, HDB3) по рекомендациям ITU-T G.703 / G.751;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физическое подключение внешних коаксиальных линий 75 Ом через 3 вибростойких экранированных разъема HARTING PushPull (09452812560) на лицевой панели со штатными переходными кабелями на BNC 75 Ом;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электрическое согласование волнового сопротивления 75 Ом, высокочастотную трансформаторную развязку и защиту от импульсных перенапряжений;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прозрачную инкапсуляцию потока E3 в пакетную сеть Ethernet по стандарту SAToP (RFC 4553);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прозрачную инкапсуляцию потоков E2 в пакетную сеть Ethernet по профилю E2oP (на базе архитектуры SAToP);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адаптивную буферизацию (Jitter Buffer 1–64 мс) для компенсации вариации сетевой задержки пакетов (PDV);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выделение тактовой частоты 8,448 / 34,368 МГц из входных потоков E2/E3 и выдачу восстановленного сигнала синхронизации в тактовую сеть шасси;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контроль аварийных состояний (LOS, AIS), счетчиков нарушений кода HDB3 (BPV/CV), тестовые петли и встроенный PRBS-тестер.</w:t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2.3. Область применения</w:t>
      </w:r>
    </w:p>
    <w:p>
      <w:pPr>
        <w:pStyle w:val="Normal"/>
        <w:rPr>
          <w:lang w:val="ru-RU"/>
        </w:rPr>
      </w:pPr>
      <w:r>
        <w:rPr>
          <w:lang w:val="ru-RU"/>
        </w:rPr>
        <w:t>Модуль AMC E2/E3 применяется в составе аппаратуры ДММП для подключения к существующим цифровым трактам PDH 8 Мбит/с и 34 Мбит/с сетей связи энергетических систем, железнодорожного транспорта и магистральных операторов.</w:t>
      </w:r>
    </w:p>
    <w:p>
      <w:pPr>
        <w:pStyle w:val="Heading1"/>
        <w:spacing w:before="240" w:after="120"/>
        <w:rPr>
          <w:rFonts w:ascii="Times New Roman" w:hAnsi="Times New Roman" w:cs="Times New Roman"/>
          <w:sz w:val="28"/>
          <w:lang w:val="ru-RU"/>
        </w:rPr>
      </w:pPr>
      <w:r>
        <w:rPr>
          <w:rFonts w:cs="Times New Roman" w:ascii="Times New Roman" w:hAnsi="Times New Roman"/>
          <w:sz w:val="28"/>
          <w:lang w:val="ru-RU"/>
        </w:rPr>
        <w:t>3. Технические требования к изделию</w:t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3.1. Архитектурное построение и модульное разделение</w:t>
      </w:r>
    </w:p>
    <w:p>
      <w:pPr>
        <w:pStyle w:val="Normal"/>
        <w:rPr>
          <w:lang w:val="ru-RU"/>
        </w:rPr>
      </w:pPr>
      <w:r>
        <w:rPr>
          <w:lang w:val="ru-RU"/>
        </w:rPr>
        <w:t>3.1.1. Модуль реализуется на базе сменной субплаты E2/E3, устанавливаемой на универсальную базовую плату AMC через межплатный соединитель B2B.</w:t>
      </w:r>
    </w:p>
    <w:p>
      <w:pPr>
        <w:pStyle w:val="Normal"/>
        <w:rPr>
          <w:lang w:val="ru-RU"/>
        </w:rPr>
      </w:pPr>
      <w:r>
        <w:rPr>
          <w:lang w:val="ru-RU"/>
        </w:rPr>
        <w:t>3.1.2. Субплата E2/E3 содержит: 3 вибростойких экранированных разъема HARTING PushPull (09452812560) на лицевой панели, согласованные 75-омные тракты, высокочастотные импульсные трансформаторы, трансиверы LIU, микросхему Board ID EEPROM (`ID = 0x03`) и светодиодную индикацию.</w:t>
      </w:r>
    </w:p>
    <w:p>
      <w:pPr>
        <w:pStyle w:val="Normal"/>
        <w:rPr>
          <w:lang w:val="ru-RU"/>
        </w:rPr>
      </w:pPr>
      <w:r>
        <w:rPr>
          <w:lang w:val="ru-RU"/>
        </w:rPr>
        <w:t>3.1.3. Базовая плата AMC обеспечивает: электропитание (+12 В, +3,3 В), интеллектуальное управление MMC, тактирование и загрузку из Flash-памяти специализированного битового потока Функционального модуля PDH (автоматически выбираемого по коду Board ID).</w:t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3.2. Разъемы лицевой панели, компоновка и переходные кабели</w:t>
      </w:r>
    </w:p>
    <w:p>
      <w:pPr>
        <w:pStyle w:val="Normal"/>
        <w:rPr>
          <w:lang w:val="ru-RU"/>
        </w:rPr>
      </w:pPr>
      <w:r>
        <w:rPr>
          <w:lang w:val="ru-RU"/>
        </w:rPr>
        <w:t>3.2.1. На лицевой панели субплаты устанавливаются 3 экранированных вибростойких соединителя типа HARTING PushPull (09452812560) с замковым механизмом фиксации: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Разъем 1 (E2-1): двухпроводной коаксиальный тракт E2 №1 (цепи TX и RX, 75 Ом);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Разъем 2 (E2-2): двухпроводной коаксиальный тракт E2 №2 (цепи TX и RX, 75 Ом);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Разъем 3 (E3-1): двухпроводной коаксиальный тракт E3 (цепи TX и RX, 75 Ом).</w:t>
      </w:r>
    </w:p>
    <w:p>
      <w:pPr>
        <w:pStyle w:val="Normal"/>
        <w:rPr>
          <w:lang w:val="ru-RU"/>
        </w:rPr>
      </w:pPr>
      <w:r>
        <w:rPr>
          <w:lang w:val="ru-RU"/>
        </w:rPr>
        <w:t>3.2.2. В состав комплекта поставки и РКД модуля должны входить штатные экранированные переходные кабели-адаптеры с волновым сопротивлением 75 Ом (ответная вилка HARTING PushPull → две коаксиальные вилки BNC 75 Ом / DIN 1.0/2.3) с четкой маркировкой цепей TX и RX.</w:t>
      </w:r>
    </w:p>
    <w:p>
      <w:pPr>
        <w:pStyle w:val="Normal"/>
        <w:rPr>
          <w:lang w:val="ru-RU"/>
        </w:rPr>
      </w:pPr>
      <w:r>
        <w:rPr>
          <w:lang w:val="ru-RU"/>
        </w:rPr>
        <w:t>3.2.3. Применение стандартных массивных разъемов BNC 50 Ом запрещается из-за нарушения волнового сопротивления (75 Ом) и механической недопустимости по габаритам Single Full-size AMC.</w:t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3.3. Электрические параметры трактов E2 (8448 кбит/с) и E3 (34368 кбит/с)</w:t>
      </w:r>
    </w:p>
    <w:p>
      <w:pPr>
        <w:pStyle w:val="Normal"/>
        <w:rPr>
          <w:lang w:val="ru-RU"/>
        </w:rPr>
      </w:pPr>
      <w:r>
        <w:rPr>
          <w:lang w:val="ru-RU"/>
        </w:rPr>
        <w:t>3.3.1. Тракты E2 (E22 по ITU-T G.703):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скорость: 8448 кбит/с ± 30 ppm; линейный код HDB3;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номинальное пиковое напряжение импульса: 2,37 В на нагрузке 75 Ом; номинальная длительность импульса 59 нс;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возвратные потери на входе и выходе: не менее 18 дБ в диапазоне 422–8448 кГц;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чувствительность приемника: гарантированная работа при затухании кабеля до 6 дБ на частоте 4224 кГц.</w:t>
      </w:r>
    </w:p>
    <w:p>
      <w:pPr>
        <w:pStyle w:val="Normal"/>
        <w:rPr>
          <w:lang w:val="ru-RU"/>
        </w:rPr>
      </w:pPr>
      <w:r>
        <w:rPr>
          <w:lang w:val="ru-RU"/>
        </w:rPr>
        <w:t>3.3.2. Тракты E3 (E31 по ITU-T G.703):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скорость: 34 368 кбит/с ± 20 ppm; линейный код HDB3;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номинальное пиковое напряжение импульса: 1,0 В на нагрузке 75 Ом; номинальная длительность импульса 14,55 нс;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возвратные потери на входе и выходе: не менее 18 дБ в диапазоне 1720–34 368 кГц;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чувствительность приемника: гарантированная работа при затухании кабеля до 12 дБ на частоте 17 184 кГц.</w:t>
      </w:r>
    </w:p>
    <w:p>
      <w:pPr>
        <w:pStyle w:val="Normal"/>
        <w:rPr>
          <w:lang w:val="ru-RU"/>
        </w:rPr>
      </w:pPr>
      <w:r>
        <w:rPr>
          <w:lang w:val="ru-RU"/>
        </w:rPr>
        <w:t>3.3.3. Каждый порт должен иметь трансформаторную гальваническую развязку и защиту от импульсных перенапряжений.</w:t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3.4. Инкапсуляция TDM-over-Packet в Функциональном модуле ПЛИС</w:t>
      </w:r>
    </w:p>
    <w:p>
      <w:pPr>
        <w:pStyle w:val="Normal"/>
        <w:rPr>
          <w:lang w:val="ru-RU"/>
        </w:rPr>
      </w:pPr>
      <w:r>
        <w:rPr>
          <w:lang w:val="ru-RU"/>
        </w:rPr>
        <w:t>3.4.1. Функциональный модлуь ПЛИС должно обеспечивать: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для потока E3: прозрачную инкапсуляцию SAToP по стандарту RFC 4553 (прозрачная передача полного потока 34,368 Мбит/с с управляющим словом и контролем последовательности);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для потоков E2: прозрачную инкапсуляцию E2oP (на базе архитектуры SAToP, передача полного потока 8,448 Мбит/с с минимальной фиксированной задержкой).</w:t>
      </w:r>
    </w:p>
    <w:p>
      <w:pPr>
        <w:pStyle w:val="Normal"/>
        <w:rPr>
          <w:lang w:val="ru-RU"/>
        </w:rPr>
      </w:pPr>
      <w:r>
        <w:rPr>
          <w:lang w:val="ru-RU"/>
        </w:rPr>
        <w:t>3.4.2. Передача PDH-пакетов через канал Fabric 10GbE базовой платы осуществляется с наивысшим приоритетом Strict Priority QoS.</w:t>
      </w:r>
    </w:p>
    <w:p>
      <w:pPr>
        <w:pStyle w:val="Normal"/>
        <w:rPr>
          <w:lang w:val="ru-RU"/>
        </w:rPr>
      </w:pPr>
      <w:r>
        <w:rPr>
          <w:lang w:val="ru-RU"/>
        </w:rPr>
        <w:t>3.4.3. Приемный тракт каждого сервиса должен содержать адаптивный джиттер-буфер (Jitter Buffer) емкостью от 1 до 64 мс для компенсации сетевой вариации задержки пакетов (PDV).</w:t>
      </w:r>
    </w:p>
    <w:p>
      <w:pPr>
        <w:pStyle w:val="Normal"/>
        <w:rPr>
          <w:lang w:val="ru-RU"/>
        </w:rPr>
      </w:pPr>
      <w:r>
        <w:rPr>
          <w:lang w:val="ru-RU"/>
        </w:rPr>
        <w:t>3.4.4. При потере пакетов или аварии в пакетной сети приемный тракт автоматически генерирует в сторону выходного коаксиального тракта непрерывный аварийный сигнал AIS («все единицы»).</w:t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3.5. Тактовая синхронизация и параметры джиттера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3.5.1. Передатчик сигналов Е2/Е3 должен поддерживать варианты тактирования: от пересчитанной частоты системных линий </w:t>
      </w:r>
      <w:r>
        <w:rPr/>
        <w:t>TCLK</w:t>
      </w:r>
      <w:r>
        <w:rPr>
          <w:lang w:val="ru-RU"/>
        </w:rPr>
        <w:t xml:space="preserve"> шасси (19б44 МГц в 8б448/34б368 МГц), от подсистемы адаптивного восстановления частоты (</w:t>
      </w:r>
      <w:r>
        <w:rPr/>
        <w:t>ACR</w:t>
      </w:r>
      <w:r>
        <w:rPr>
          <w:lang w:val="ru-RU"/>
        </w:rPr>
        <w:t>/</w:t>
      </w:r>
      <w:r>
        <w:rPr/>
        <w:t>DCR</w:t>
      </w:r>
      <w:r>
        <w:rPr>
          <w:lang w:val="ru-RU"/>
        </w:rPr>
        <w:t>), от локального генератора (</w:t>
      </w:r>
      <w:r>
        <w:rPr/>
        <w:t>Holdover</w:t>
      </w:r>
      <w:r>
        <w:rPr>
          <w:lang w:val="ru-RU"/>
        </w:rPr>
        <w:t>) или от выделенной входной частоты приемника (</w:t>
      </w:r>
      <w:r>
        <w:rPr/>
        <w:t>Loop</w:t>
      </w:r>
      <w:r>
        <w:rPr>
          <w:lang w:val="ru-RU"/>
        </w:rPr>
        <w:t xml:space="preserve"> </w:t>
      </w:r>
      <w:r>
        <w:rPr/>
        <w:t>timing</w:t>
      </w:r>
      <w:r>
        <w:rPr>
          <w:lang w:val="ru-RU"/>
        </w:rPr>
        <w:t>).</w:t>
      </w:r>
    </w:p>
    <w:p>
      <w:pPr>
        <w:pStyle w:val="Normal"/>
        <w:rPr>
          <w:lang w:val="ru-RU"/>
        </w:rPr>
      </w:pPr>
      <w:r>
        <w:rPr>
          <w:lang w:val="ru-RU"/>
        </w:rPr>
        <w:t>3.5.2. Субплата должна обеспечивать выделение тактовой частоты (8,448 / 34,368 МГц) из любого выбранного входного порта и передавать ее на базовую плату в линию `RX_CLK`. В ПЛИС/</w:t>
      </w:r>
      <w:r>
        <w:rPr/>
        <w:t>DPLL</w:t>
      </w:r>
      <w:r>
        <w:rPr>
          <w:lang w:val="ru-RU"/>
        </w:rPr>
        <w:t xml:space="preserve"> базового модуля данная частота преобразуется в эталонную системную частоту 19,44 МГц для трансляции в шины тактирования (</w:t>
      </w:r>
      <w:r>
        <w:rPr/>
        <w:t>TCLK</w:t>
      </w:r>
      <w:r>
        <w:rPr>
          <w:lang w:val="ru-RU"/>
        </w:rPr>
        <w:t>).</w:t>
      </w:r>
    </w:p>
    <w:p>
      <w:pPr>
        <w:pStyle w:val="Normal"/>
        <w:rPr>
          <w:lang w:val="ru-RU"/>
        </w:rPr>
      </w:pPr>
      <w:r>
        <w:rPr>
          <w:lang w:val="ru-RU"/>
        </w:rPr>
        <w:t>3.5.3. Выходной джиттер и вандер сформированных сигналов E2 и E3 должны соответствовать требованиям рекомендации ITU-T G.823.</w:t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3.6. Аварийная сигнализация, диагностика и контроль качества</w:t>
      </w:r>
    </w:p>
    <w:p>
      <w:pPr>
        <w:pStyle w:val="Normal"/>
        <w:rPr>
          <w:lang w:val="ru-RU"/>
        </w:rPr>
      </w:pPr>
      <w:r>
        <w:rPr>
          <w:lang w:val="ru-RU"/>
        </w:rPr>
        <w:t>3.6.1. Непрерывно контролируются: потеря сигнала (LOS), прием аварии AIS, нарушения кода HDB3 (BPV/CV), переполнение/опустошение джиттер-буфера.</w:t>
      </w:r>
    </w:p>
    <w:p>
      <w:pPr>
        <w:pStyle w:val="Normal"/>
        <w:rPr>
          <w:lang w:val="ru-RU"/>
        </w:rPr>
      </w:pPr>
      <w:r>
        <w:rPr>
          <w:lang w:val="ru-RU"/>
        </w:rPr>
        <w:t>3.6.2. Для каждого порта должны поддерживаться тестовые петли: локальная петля (Local Line Loopback), внутренняя цифровая петля полезной нагрузки (Payload Loopback) и пакетная петля (Packet Loopback).</w:t>
      </w:r>
    </w:p>
    <w:p>
      <w:pPr>
        <w:pStyle w:val="Normal"/>
        <w:rPr>
          <w:lang w:val="ru-RU"/>
        </w:rPr>
      </w:pPr>
      <w:r>
        <w:rPr>
          <w:lang w:val="ru-RU"/>
        </w:rPr>
        <w:t>3.6.3. Функциональный модлуь должно содержать встроенный генератор и анализатор PRBS (2^23-1) для автономного измерения BER на скоростях E2 и E3.</w:t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3.7. Механика, сэндвич-сопряжение, электропитание и надежность</w:t>
      </w:r>
    </w:p>
    <w:p>
      <w:pPr>
        <w:pStyle w:val="Normal"/>
        <w:rPr>
          <w:lang w:val="ru-RU"/>
        </w:rPr>
      </w:pPr>
      <w:r>
        <w:rPr>
          <w:lang w:val="ru-RU"/>
        </w:rPr>
        <w:t>3.7.1. Модуль в сборе строго соответствует габаритам Single Full-size AMC.0 (73,5 × 180,6 × 28,95 мм). Межплатная фиксация выполняется на 4–6 металлических резьбовых стойках М2,5.</w:t>
      </w:r>
    </w:p>
    <w:p>
      <w:pPr>
        <w:pStyle w:val="Normal"/>
        <w:rPr>
          <w:lang w:val="ru-RU"/>
        </w:rPr>
      </w:pPr>
      <w:r>
        <w:rPr>
          <w:lang w:val="ru-RU"/>
        </w:rPr>
        <w:t>3.7.2. Потребляемая мощность субплаты E2/E3 не должна превышать 15 Вт (суммарная мощность с базовой платой — не более 35 Вт).</w:t>
      </w:r>
    </w:p>
    <w:p>
      <w:pPr>
        <w:pStyle w:val="Normal"/>
        <w:rPr>
          <w:lang w:val="ru-RU"/>
        </w:rPr>
      </w:pPr>
      <w:r>
        <w:rPr>
          <w:lang w:val="ru-RU"/>
        </w:rPr>
        <w:t>3.7.3. По стойкости к механическим и климатическим воздействиям изделие должно соответствовать ГОСТ РВ 20.39.304-98 (группы 1.1, 1.3, 1.4.1 «О», рабочая температура от минус 10 до плюс 50 °С, предельная от минус 40 до плюс 65 °С, синусоидальная вибрация 5g, удары 15g).</w:t>
      </w:r>
    </w:p>
    <w:p>
      <w:pPr>
        <w:pStyle w:val="Normal"/>
        <w:rPr>
          <w:lang w:val="ru-RU"/>
        </w:rPr>
      </w:pPr>
      <w:r>
        <w:rPr>
          <w:lang w:val="ru-RU"/>
        </w:rPr>
        <w:t>3.7.4. По уровню радиопомех изделие удовлетворяет нормам группы 1.1.1 ГОСТ В 25803-91. MTBF составляет не менее 15 000 часов, назначенный срок службы — не менее 5 лет.</w:t>
      </w:r>
    </w:p>
    <w:p>
      <w:pPr>
        <w:pStyle w:val="Heading1"/>
        <w:spacing w:before="240" w:after="120"/>
        <w:rPr>
          <w:rFonts w:ascii="Times New Roman" w:hAnsi="Times New Roman" w:cs="Times New Roman"/>
          <w:sz w:val="28"/>
          <w:lang w:val="ru-RU"/>
        </w:rPr>
      </w:pPr>
      <w:r>
        <w:rPr>
          <w:rFonts w:cs="Times New Roman" w:ascii="Times New Roman" w:hAnsi="Times New Roman"/>
          <w:sz w:val="28"/>
          <w:lang w:val="ru-RU"/>
        </w:rPr>
        <w:t>4. Технико-экономические требования</w:t>
      </w:r>
    </w:p>
    <w:p>
      <w:pPr>
        <w:pStyle w:val="Normal"/>
        <w:rPr>
          <w:lang w:val="ru-RU"/>
        </w:rPr>
      </w:pPr>
      <w:r>
        <w:rPr>
          <w:lang w:val="ru-RU"/>
        </w:rPr>
        <w:t>Требования не предъявляются.</w:t>
      </w:r>
    </w:p>
    <w:p>
      <w:pPr>
        <w:pStyle w:val="Heading1"/>
        <w:spacing w:before="240" w:after="120"/>
        <w:rPr>
          <w:rFonts w:ascii="Times New Roman" w:hAnsi="Times New Roman" w:cs="Times New Roman"/>
          <w:sz w:val="28"/>
          <w:lang w:val="ru-RU"/>
        </w:rPr>
      </w:pPr>
      <w:r>
        <w:rPr>
          <w:rFonts w:cs="Times New Roman" w:ascii="Times New Roman" w:hAnsi="Times New Roman"/>
          <w:sz w:val="28"/>
          <w:lang w:val="ru-RU"/>
        </w:rPr>
        <w:t>5. Требования к видам обеспечения</w:t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5.1. Нормативно-техническое обеспечение</w:t>
      </w:r>
    </w:p>
    <w:p>
      <w:pPr>
        <w:pStyle w:val="Normal"/>
        <w:rPr>
          <w:lang w:val="ru-RU"/>
        </w:rPr>
      </w:pPr>
      <w:r>
        <w:rPr>
          <w:lang w:val="ru-RU"/>
        </w:rPr>
        <w:t>Разработка субплаты и Функционального модуля PDH должна выполняться в соответствии с ITU-T G.703, G.704, G.823, RFC 4553, PICMG AMC.0, ГОСТ РВ 20.39.304-98 и ГОСТ В 25803-91.</w:t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5.2. Метрологическое обеспечение</w:t>
      </w:r>
    </w:p>
    <w:p>
      <w:pPr>
        <w:pStyle w:val="Normal"/>
        <w:rPr>
          <w:lang w:val="ru-RU"/>
        </w:rPr>
      </w:pPr>
      <w:r>
        <w:rPr>
          <w:lang w:val="ru-RU"/>
        </w:rPr>
        <w:t>В составе документации должны быть определены методики измерений формы и амплитуды импульсов E2/E3 по G.703, возвратных потерь 75 Ом, джиттера по G.823 и коэффициента ошибок BER.</w:t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5.3. Диагностическое обеспечение</w:t>
      </w:r>
    </w:p>
    <w:p>
      <w:pPr>
        <w:pStyle w:val="Normal"/>
        <w:rPr>
          <w:lang w:val="ru-RU"/>
        </w:rPr>
      </w:pPr>
      <w:r>
        <w:rPr>
          <w:lang w:val="ru-RU"/>
        </w:rPr>
        <w:t>Система встроенной диагностики должна непрерывно контролировать аварии LOS/AIS, счетчики ошибок BPV и формировать аварийные сообщения для РМО.</w:t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5.4. Программное обеспечение</w:t>
      </w:r>
    </w:p>
    <w:p>
      <w:pPr>
        <w:pStyle w:val="Normal"/>
        <w:rPr>
          <w:lang w:val="ru-RU"/>
        </w:rPr>
      </w:pPr>
      <w:r>
        <w:rPr>
          <w:lang w:val="ru-RU"/>
        </w:rPr>
        <w:t>В составе изделия поставляются: битовый поток прошивки Функционального модуля PDH для Flash-памяти базовой платы AMC, драйверы Linux и структуры MIB для РМО.</w:t>
      </w:r>
    </w:p>
    <w:p>
      <w:pPr>
        <w:pStyle w:val="Heading1"/>
        <w:spacing w:before="240" w:after="120"/>
        <w:rPr>
          <w:rFonts w:ascii="Times New Roman" w:hAnsi="Times New Roman" w:cs="Times New Roman"/>
          <w:sz w:val="28"/>
          <w:lang w:val="ru-RU"/>
        </w:rPr>
      </w:pPr>
      <w:r>
        <w:rPr>
          <w:rFonts w:cs="Times New Roman" w:ascii="Times New Roman" w:hAnsi="Times New Roman"/>
          <w:sz w:val="28"/>
          <w:lang w:val="ru-RU"/>
        </w:rPr>
        <w:t>6. Требования к сырью, материалам и комплектующим изделиям</w:t>
      </w:r>
    </w:p>
    <w:p>
      <w:pPr>
        <w:pStyle w:val="Normal"/>
        <w:rPr>
          <w:lang w:val="ru-RU"/>
        </w:rPr>
      </w:pPr>
      <w:r>
        <w:rPr>
          <w:lang w:val="ru-RU"/>
        </w:rPr>
        <w:t>При разработке схемотехники субплаты приоритет должен отдаваться комплектующим и материалам отечественного производства с приемкой ОТК. При отсутствии отечественных аналогов допускается применение импортной ЭКБ промышленного температурного диапазона.</w:t>
      </w:r>
    </w:p>
    <w:p>
      <w:pPr>
        <w:pStyle w:val="Heading1"/>
        <w:spacing w:before="240" w:after="120"/>
        <w:rPr>
          <w:rFonts w:ascii="Times New Roman" w:hAnsi="Times New Roman" w:cs="Times New Roman"/>
          <w:sz w:val="28"/>
          <w:lang w:val="ru-RU"/>
        </w:rPr>
      </w:pPr>
      <w:r>
        <w:rPr>
          <w:rFonts w:cs="Times New Roman" w:ascii="Times New Roman" w:hAnsi="Times New Roman"/>
          <w:sz w:val="28"/>
          <w:lang w:val="ru-RU"/>
        </w:rPr>
        <w:t>7. Требования к консервации, упаковке и маркировке</w:t>
      </w:r>
    </w:p>
    <w:p>
      <w:pPr>
        <w:pStyle w:val="Normal"/>
        <w:rPr>
          <w:lang w:val="ru-RU"/>
        </w:rPr>
      </w:pPr>
      <w:r>
        <w:rPr>
          <w:lang w:val="ru-RU"/>
        </w:rPr>
        <w:t>Каждая субплата должна иметь маркировку с указанием децимального номера, серийного номера, ревизии и обозначений разъемов E2-1, E2-2, E3-1. Индивидуальная тара должна обеспечивать защиту от ESD. Срок хранения в заводской таре — не менее 1 года по ГОСТ 15150.</w:t>
      </w:r>
    </w:p>
    <w:p>
      <w:pPr>
        <w:pStyle w:val="Heading1"/>
        <w:spacing w:before="240" w:after="120"/>
        <w:rPr>
          <w:rFonts w:ascii="Times New Roman" w:hAnsi="Times New Roman" w:cs="Times New Roman"/>
          <w:sz w:val="28"/>
          <w:lang w:val="ru-RU"/>
        </w:rPr>
      </w:pPr>
      <w:r>
        <w:rPr>
          <w:rFonts w:cs="Times New Roman" w:ascii="Times New Roman" w:hAnsi="Times New Roman"/>
          <w:sz w:val="28"/>
          <w:lang w:val="ru-RU"/>
        </w:rPr>
        <w:t>8. Специальные требования</w:t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8.1. Интеграция с программным комплексом РМО</w:t>
      </w:r>
    </w:p>
    <w:p>
      <w:pPr>
        <w:pStyle w:val="Normal"/>
        <w:rPr>
          <w:lang w:val="ru-RU"/>
        </w:rPr>
      </w:pPr>
      <w:r>
        <w:rPr>
          <w:lang w:val="ru-RU"/>
        </w:rPr>
        <w:t>8.1.1. Модуль AMC E2/E3 передает в РМО (C++/Qt) данные телеметрии: мнемосхему портов E2/E3, текущие статусы (LOS/AIS), счетчики ошибок BPV, режим SAToP/E2oP и статус источника тактирования.</w:t>
      </w:r>
    </w:p>
    <w:p>
      <w:pPr>
        <w:pStyle w:val="Normal"/>
        <w:rPr>
          <w:lang w:val="ru-RU"/>
        </w:rPr>
      </w:pPr>
      <w:r>
        <w:rPr>
          <w:lang w:val="ru-RU"/>
        </w:rPr>
        <w:t>8.1.2. Модуль поддерживает дистанционные команды РМО: включение/отключение передатчиков, настройка параметров джиттер-буфера, включение диагностических петель и запуск PRBS-тестирования.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440" w:right="1440" w:gutter="0" w:header="0" w:top="1440" w:footer="708" w:bottom="1440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b473b"/>
    <w:pPr>
      <w:widowControl/>
      <w:bidi w:val="0"/>
      <w:spacing w:lineRule="auto" w:line="264" w:before="0" w:after="0"/>
      <w:ind w:firstLine="720"/>
      <w:jc w:val="both"/>
    </w:pPr>
    <w:rPr>
      <w:rFonts w:ascii="Times New Roman" w:hAnsi="Times New Roman" w:eastAsia="ＭＳ 明朝" w:cs="" w:cstheme="minorBidi" w:eastAsiaTheme="minorEastAsia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fb473b"/>
    <w:pPr>
      <w:keepLines/>
      <w:spacing w:before="320" w:after="16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text1" w:val="000000"/>
      <w:sz w:val="32"/>
      <w:szCs w:val="28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fb473b"/>
    <w:pPr>
      <w:keepLines/>
      <w:spacing w:before="24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text1" w:val="000000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fc693f"/>
    <w:pPr>
      <w:keepLines/>
      <w:spacing w:before="160" w:after="8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D7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Верхний колонтитул Знак"/>
    <w:basedOn w:val="DefaultParagraphFont"/>
    <w:uiPriority w:val="99"/>
    <w:qFormat/>
    <w:rsid w:val="00e618bf"/>
    <w:rPr/>
  </w:style>
  <w:style w:type="character" w:styleId="Style6" w:customStyle="1">
    <w:name w:val="Нижний колонтитул Знак"/>
    <w:basedOn w:val="DefaultParagraphFont"/>
    <w:uiPriority w:val="99"/>
    <w:qFormat/>
    <w:rsid w:val="00e618bf"/>
    <w:rPr/>
  </w:style>
  <w:style w:type="character" w:styleId="1" w:customStyle="1">
    <w:name w:val="Заголовок 1 Знак"/>
    <w:basedOn w:val="DefaultParagraphFont"/>
    <w:uiPriority w:val="9"/>
    <w:qFormat/>
    <w:rsid w:val="00fb473b"/>
    <w:rPr>
      <w:rFonts w:ascii="Calibri" w:hAnsi="Calibri" w:eastAsia="ＭＳ ゴシック" w:cs="" w:asciiTheme="majorHAnsi" w:cstheme="majorBidi" w:eastAsiaTheme="majorEastAsia" w:hAnsiTheme="majorHAnsi"/>
      <w:b/>
      <w:bCs/>
      <w:color w:themeColor="text1" w:val="000000"/>
      <w:sz w:val="32"/>
      <w:szCs w:val="28"/>
    </w:rPr>
  </w:style>
  <w:style w:type="character" w:styleId="2" w:customStyle="1">
    <w:name w:val="Заголовок 2 Знак"/>
    <w:basedOn w:val="DefaultParagraphFont"/>
    <w:uiPriority w:val="9"/>
    <w:qFormat/>
    <w:rsid w:val="00fb473b"/>
    <w:rPr>
      <w:rFonts w:ascii="Calibri" w:hAnsi="Calibri" w:eastAsia="ＭＳ ゴシック" w:cs="" w:asciiTheme="majorHAnsi" w:cstheme="majorBidi" w:eastAsiaTheme="majorEastAsia" w:hAnsiTheme="majorHAnsi"/>
      <w:b/>
      <w:bCs/>
      <w:color w:themeColor="text1" w:val="000000"/>
      <w:sz w:val="26"/>
      <w:szCs w:val="26"/>
    </w:rPr>
  </w:style>
  <w:style w:type="character" w:styleId="3" w:customStyle="1">
    <w:name w:val="Заголовок 3 Знак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Style7" w:customStyle="1">
    <w:name w:val="Заголовок Знак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tyle8" w:customStyle="1">
    <w:name w:val="Подзаголовок Знак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Style9" w:customStyle="1">
    <w:name w:val="Основной текст Знак"/>
    <w:basedOn w:val="DefaultParagraphFont"/>
    <w:uiPriority w:val="99"/>
    <w:qFormat/>
    <w:rsid w:val="00aa1d8d"/>
    <w:rPr/>
  </w:style>
  <w:style w:type="character" w:styleId="21" w:customStyle="1">
    <w:name w:val="Основной текст 2 Знак"/>
    <w:basedOn w:val="DefaultParagraphFont"/>
    <w:link w:val="BodyText2"/>
    <w:uiPriority w:val="99"/>
    <w:qFormat/>
    <w:rsid w:val="00aa1d8d"/>
    <w:rPr/>
  </w:style>
  <w:style w:type="character" w:styleId="31" w:customStyle="1">
    <w:name w:val="Основной текст 3 Знак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Style10" w:customStyle="1">
    <w:name w:val="Текст макроса Знак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22" w:customStyle="1">
    <w:name w:val="Цитата 2 Знак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4" w:customStyle="1">
    <w:name w:val="Заголовок 4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5" w:customStyle="1">
    <w:name w:val="Заголовок 5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6" w:customStyle="1">
    <w:name w:val="Заголовок 6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7" w:customStyle="1">
    <w:name w:val="Заголовок 7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8" w:customStyle="1">
    <w:name w:val="Заголовок 8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9" w:customStyle="1">
    <w:name w:val="Заголовок 9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Style11" w:customStyle="1">
    <w:name w:val="Выделенная цитата Знак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basedOn w:val="DefaultParagraphFont"/>
    <w:uiPriority w:val="99"/>
    <w:unhideWhenUsed/>
    <w:rsid w:val="00294189"/>
    <w:rPr>
      <w:color w:themeColor="hyperlink" w:val="0000FF"/>
      <w:u w:val="single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link w:val="Style9"/>
    <w:uiPriority w:val="99"/>
    <w:unhideWhenUsed/>
    <w:rsid w:val="00aa1d8d"/>
    <w:pPr/>
    <w:rPr/>
  </w:style>
  <w:style w:type="paragraph" w:styleId="List">
    <w:name w:val="List"/>
    <w:basedOn w:val="Normal"/>
    <w:uiPriority w:val="99"/>
    <w:unhideWhenUsed/>
    <w:rsid w:val="00aa1d8d"/>
    <w:pPr>
      <w:spacing w:before="0" w:after="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13">
    <w:name w:val="Указатель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5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Footer">
    <w:name w:val="footer"/>
    <w:basedOn w:val="Normal"/>
    <w:link w:val="Style6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Style7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val="000000"/>
      <w:spacing w:val="5"/>
      <w:kern w:val="2"/>
      <w:sz w:val="44"/>
      <w:szCs w:val="52"/>
    </w:rPr>
  </w:style>
  <w:style w:type="paragraph" w:styleId="Subtitle">
    <w:name w:val="Subtitle"/>
    <w:basedOn w:val="Normal"/>
    <w:next w:val="Normal"/>
    <w:link w:val="Style8"/>
    <w:uiPriority w:val="11"/>
    <w:qFormat/>
    <w:rsid w:val="00fc693f"/>
    <w:pPr>
      <w:ind w:firstLine="720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1F4D78"/>
      <w:spacing w:val="15"/>
      <w:sz w:val="26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0"/>
      <w:ind w:left="720"/>
      <w:contextualSpacing/>
    </w:pPr>
    <w:rPr/>
  </w:style>
  <w:style w:type="paragraph" w:styleId="BodyText2">
    <w:name w:val="Body Text 2"/>
    <w:basedOn w:val="Normal"/>
    <w:link w:val="21"/>
    <w:uiPriority w:val="99"/>
    <w:unhideWhenUsed/>
    <w:qFormat/>
    <w:rsid w:val="00aa1d8d"/>
    <w:pPr>
      <w:spacing w:lineRule="auto" w:line="480"/>
    </w:pPr>
    <w:rPr/>
  </w:style>
  <w:style w:type="paragraph" w:styleId="BodyText3">
    <w:name w:val="Body Text 3"/>
    <w:basedOn w:val="Normal"/>
    <w:link w:val="31"/>
    <w:uiPriority w:val="99"/>
    <w:unhideWhenUsed/>
    <w:qFormat/>
    <w:rsid w:val="00aa1d8d"/>
    <w:pPr/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spacing w:before="0" w:after="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1"/>
      </w:numPr>
      <w:spacing w:before="0" w:after="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tabs>
        <w:tab w:val="left" w:pos="720" w:leader="none"/>
      </w:tabs>
      <w:spacing w:before="0" w:after="0"/>
      <w:ind w:hanging="360" w:left="7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tabs>
        <w:tab w:val="left" w:pos="720" w:leader="none"/>
      </w:tabs>
      <w:spacing w:before="0" w:after="0"/>
      <w:ind w:hanging="360" w:left="7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tabs>
        <w:tab w:val="left" w:pos="720" w:leader="none"/>
      </w:tabs>
      <w:spacing w:before="0" w:after="0"/>
      <w:ind w:hanging="360" w:left="7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tabs>
        <w:tab w:val="left" w:pos="720" w:leader="none"/>
      </w:tabs>
      <w:spacing w:before="0" w:after="0"/>
      <w:ind w:hanging="360" w:left="7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0"/>
      <w:ind w:left="1080"/>
      <w:contextualSpacing/>
    </w:pPr>
    <w:rPr/>
  </w:style>
  <w:style w:type="paragraph" w:styleId="MacroText">
    <w:name w:val="macro"/>
    <w:link w:val="Style10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22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Style11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12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  <w:rPr/>
  </w:style>
  <w:style w:type="paragraph" w:styleId="TOC1">
    <w:name w:val="toc 1"/>
    <w:basedOn w:val="Normal"/>
    <w:next w:val="Normal"/>
    <w:autoRedefine/>
    <w:uiPriority w:val="39"/>
    <w:unhideWhenUsed/>
    <w:rsid w:val="00294189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294189"/>
    <w:pPr>
      <w:spacing w:before="0" w:after="100"/>
      <w:ind w:left="220"/>
    </w:pPr>
    <w:rPr/>
  </w:style>
  <w:style w:type="numbering" w:styleId="Style14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f0">
    <w:name w:val="Table Grid"/>
    <w:basedOn w:val="a1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f1">
    <w:name w:val="Light Shading"/>
    <w:basedOn w:val="a1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1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-10">
    <w:name w:val="Light List Accent 1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-20">
    <w:name w:val="Light List Accent 2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-30">
    <w:name w:val="Light List Accent 3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-40">
    <w:name w:val="Light List Accent 4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-50">
    <w:name w:val="Light List Accent 5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-60">
    <w:name w:val="Light List Accent 6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aff3">
    <w:name w:val="Light Grid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-11">
    <w:name w:val="Light Grid Accent 1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-21">
    <w:name w:val="Light Grid Accent 2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-31">
    <w:name w:val="Light Grid Accent 3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-41">
    <w:name w:val="Light Grid Accent 4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-51">
    <w:name w:val="Light Grid Accent 5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-61">
    <w:name w:val="Light Grid Accent 6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11">
    <w:name w:val="Medium Shading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1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1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1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1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1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1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1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1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1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1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13">
    <w:name w:val="Colorful Shading Accent 1"/>
    <w:basedOn w:val="a1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23">
    <w:name w:val="Colorful Shading Accent 2"/>
    <w:basedOn w:val="a1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33">
    <w:name w:val="Colorful Shading Accent 3"/>
    <w:basedOn w:val="a1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53">
    <w:name w:val="Colorful Shading Accent 5"/>
    <w:basedOn w:val="a1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63">
    <w:name w:val="Colorful Shading Accent 6"/>
    <w:basedOn w:val="a1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aff6">
    <w:name w:val="Colorful List"/>
    <w:basedOn w:val="a1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1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1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1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Application>LibreOffice/25.2.3.2$Linux_X86_64 LibreOffice_project/520$Build-2</Application>
  <AppVersion>15.0000</AppVersion>
  <Pages>10</Pages>
  <Words>1997</Words>
  <Characters>14432</Characters>
  <CharactersWithSpaces>16297</CharactersWithSpaces>
  <Paragraphs>168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2026-07-21T06:07:00Z</dcterms:created>
  <dc:creator>Проектная рабочая группа</dc:creator>
  <dc:description>Исходные документы не изменены</dc:description>
  <dc:language>ru-RU</dc:language>
  <cp:lastModifiedBy/>
  <dcterms:modified xsi:type="dcterms:W3CDTF">2026-10-02T03:04:51Z</dcterms:modified>
  <cp:revision>10</cp:revision>
  <dc:subject>Рабочий проект ТЗ на ОКР</dc:subject>
  <dc:title>Техническое задание на изделие ДММП ATCA 6U/6-slot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