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ff0"/>
        <w:tblW w:w="9360" w:type="dxa"/>
        <w:jc w:val="left"/>
        <w:tblInd w:w="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ind w:hanging="0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УТВЕРЖДАЮ</w:t>
              <w:br/>
              <w:t>Директор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hanging="0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ООО тушканчик</w:t>
              <w:br/>
              <w:t>________________  фио</w:t>
              <w:br/>
              <w:t>«___» __________ 2026 г.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hanging="0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sz w:val="28"/>
                <w:szCs w:val="28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hanging="0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Директор ООО актушка</w:t>
              <w:br/>
              <w:t>______________фио</w:t>
              <w:br/>
              <w:t>«___» __________ 2026 г.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Главный конструктор ООО тушкан</w:t>
              <w:br/>
              <w:t>________________ фио</w:t>
              <w:br/>
              <w:t>«___» __________ 2026 г.</w:t>
            </w:r>
            <w:bookmarkStart w:id="0" w:name="_Hlk238025997"/>
            <w:bookmarkEnd w:id="0"/>
          </w:p>
        </w:tc>
      </w:tr>
    </w:tbl>
    <w:p>
      <w:pPr>
        <w:pStyle w:val="Normal"/>
        <w:spacing w:before="1440" w:after="160"/>
        <w:ind w:hanging="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ТЕХНИЧЕСКОЕ ЗАДАНИЕ</w:t>
      </w:r>
    </w:p>
    <w:p>
      <w:pPr>
        <w:pStyle w:val="Normal"/>
        <w:spacing w:before="0" w:after="20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на выполнение части опытно-конструкторской работы</w:t>
      </w:r>
    </w:p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«Разработка универсальной базовой цифровой платы интерфейсных мезонинных модулей стандарта Advanced Mezzanine Card (AMC) для семейства устройств ДММП»</w:t>
      </w:r>
    </w:p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Шифр ОКР: Развитие-ТСА</w:t>
      </w:r>
    </w:p>
    <w:tbl>
      <w:tblPr>
        <w:tblStyle w:val="aff0"/>
        <w:tblW w:w="9360" w:type="dxa"/>
        <w:jc w:val="left"/>
        <w:tblInd w:w="0" w:type="dxa"/>
        <w:tblLayout w:type="fixed"/>
        <w:tblCellMar>
          <w:top w:w="95" w:type="dxa"/>
          <w:left w:w="120" w:type="dxa"/>
          <w:bottom w:w="95" w:type="dxa"/>
          <w:right w:w="120" w:type="dxa"/>
        </w:tblCellMar>
        <w:tblLook w:val="04a0" w:noHBand="0" w:noVBand="1" w:firstColumn="1" w:lastRow="0" w:lastColumn="0" w:firstRow="1"/>
      </w:tblPr>
      <w:tblGrid>
        <w:gridCol w:w="4680"/>
        <w:gridCol w:w="4679"/>
      </w:tblGrid>
      <w:tr>
        <w:trPr>
          <w:tblHeader w:val="true"/>
          <w:cantSplit w:val="true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Начальник лаборатории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ООО нетушканчик</w:t>
              <w:br/>
              <w:t>________________  фио</w:t>
              <w:br/>
              <w:t>«___» __________ 2026 г.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sz w:val="28"/>
                <w:szCs w:val="28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СОГЛАСОВАНО</w:t>
              <w:br/>
              <w:t>Начальник пупупу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ind w:firstLine="22"/>
              <w:jc w:val="left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ООО тушканчик</w:t>
              <w:br/>
              <w:t>________________  фио</w:t>
              <w:br/>
              <w:t>«___» __________ 2026 г.</w:t>
            </w:r>
          </w:p>
        </w:tc>
        <w:tc>
          <w:tcPr>
            <w:tcW w:w="46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52" w:before="0" w:after="0"/>
              <w:jc w:val="righ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sz w:val="28"/>
                <w:szCs w:val="28"/>
                <w:lang w:val="ru-RU"/>
              </w:rPr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jc w:val="right"/>
              <w:rPr>
                <w:rFonts w:eastAsia="Calibri" w:cs="Times New Roman"/>
                <w:sz w:val="28"/>
                <w:szCs w:val="28"/>
                <w:lang w:val="ru-RU"/>
              </w:rPr>
            </w:pPr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СОСТАВИЛ</w:t>
              <w:br/>
              <w:t>Ведущий инженер-системотехник</w:t>
            </w:r>
          </w:p>
          <w:p>
            <w:pPr>
              <w:pStyle w:val="Normal"/>
              <w:widowControl/>
              <w:suppressAutoHyphens w:val="true"/>
              <w:spacing w:lineRule="auto" w:line="252" w:before="0" w:after="0"/>
              <w:jc w:val="right"/>
              <w:rPr>
                <w:rFonts w:cs="Times New Roman"/>
                <w:sz w:val="28"/>
                <w:szCs w:val="28"/>
                <w:lang w:val="ru-RU"/>
              </w:rPr>
            </w:pPr>
            <w:bookmarkStart w:id="1" w:name="_Hlk238025344"/>
            <w:bookmarkEnd w:id="1"/>
            <w:r>
              <w:rPr>
                <w:rFonts w:eastAsia="Calibri" w:cs="Times New Roman"/>
                <w:kern w:val="0"/>
                <w:sz w:val="28"/>
                <w:szCs w:val="28"/>
                <w:lang w:val="ru-RU" w:eastAsia="en-US" w:bidi="ar-SA"/>
              </w:rPr>
              <w:t>ООО тушканчик</w:t>
              <w:br/>
              <w:t>________________ фио</w:t>
              <w:br/>
              <w:t>«___» __________ 2026 г.</w:t>
            </w:r>
          </w:p>
        </w:tc>
      </w:tr>
    </w:tbl>
    <w:p>
      <w:pPr>
        <w:pStyle w:val="Normal"/>
        <w:spacing w:before="0" w:after="240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</w:r>
    </w:p>
    <w:p>
      <w:pPr>
        <w:pStyle w:val="Normal"/>
        <w:spacing w:before="0" w:after="720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2026</w:t>
      </w:r>
      <w:r>
        <w:br w:type="page"/>
      </w:r>
    </w:p>
    <w:p>
      <w:pPr>
        <w:pStyle w:val="Heading1"/>
        <w:spacing w:before="0" w:after="120"/>
        <w:jc w:val="center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ЛИСТ СОГЛАСОВАНИЯ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ООО тушканчик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rFonts w:eastAsia="Calibri" w:cs="Times New Roman"/>
          <w:sz w:val="28"/>
          <w:szCs w:val="28"/>
          <w:lang w:val="ru-RU"/>
        </w:rPr>
        <w:t>ООО «актушкан»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ООО ТВК </w:t>
      </w:r>
      <w:r>
        <w:rPr>
          <w:sz w:val="28"/>
          <w:szCs w:val="28"/>
          <w:lang w:val="ru-RU"/>
        </w:rPr>
        <w:t>река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___________________________________________________________</w:t>
      </w:r>
    </w:p>
    <w:p>
      <w:pPr>
        <w:pStyle w:val="Normal"/>
        <w:spacing w:lineRule="auto" w:line="36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</w:p>
    <w:p>
      <w:pPr>
        <w:pStyle w:val="Normal"/>
        <w:spacing w:lineRule="auto" w:line="276" w:before="0" w:after="200"/>
        <w:ind w:hanging="0"/>
        <w:jc w:val="left"/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pPr>
      <w:r>
        <w:rPr>
          <w:rFonts w:eastAsia="ＭＳ ゴシック" w:cs="Times New Roman" w:eastAsiaTheme="majorEastAsia"/>
          <w:b/>
          <w:bCs/>
          <w:color w:themeColor="text1" w:val="000000"/>
          <w:sz w:val="28"/>
          <w:szCs w:val="28"/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Обозначения и сокращения</w:t>
      </w:r>
    </w:p>
    <w:p>
      <w:pPr>
        <w:pStyle w:val="Normal"/>
        <w:rPr>
          <w:lang w:val="ru-RU"/>
        </w:rPr>
      </w:pPr>
      <w:r>
        <w:rPr>
          <w:lang w:val="ru-RU"/>
        </w:rPr>
        <w:t>В настоящем документе применяют следующие обозначения и сокращения: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AMC (Advanced Mezzanine Card)</w:t>
      </w:r>
      <w:r>
        <w:rPr>
          <w:lang w:val="ru-RU"/>
        </w:rPr>
        <w:t xml:space="preserve"> — стандарт встраиваемых функциональных мезонинных модулей (PICMG AMC.0);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Базовая плата AMC (AMC Baseboard)</w:t>
      </w:r>
      <w:r>
        <w:rPr>
          <w:lang w:val="ru-RU"/>
        </w:rPr>
        <w:t xml:space="preserve"> — универсальная цифровая несущая плата мезонинного модуля AMC;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Интерфейсная субплата (Daughterboard)</w:t>
      </w:r>
      <w:r>
        <w:rPr>
          <w:lang w:val="ru-RU"/>
        </w:rPr>
        <w:t xml:space="preserve"> — сменная плата физических интерфейсов (E1, STM-1, C37.94, RS-485, E2/E3), устанавливаемая на базовую плату AMC;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МН (Carrier)</w:t>
      </w:r>
      <w:r>
        <w:rPr>
          <w:lang w:val="ru-RU"/>
        </w:rPr>
        <w:t xml:space="preserve"> — модуль-носитель AMC формата ATCA;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ПЛИС (FPGA)</w:t>
      </w:r>
      <w:r>
        <w:rPr>
          <w:lang w:val="ru-RU"/>
        </w:rPr>
        <w:t xml:space="preserve"> — программируемая логическая интегральная схема высокой степени интеграции;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MMC (Module Management Controller)</w:t>
      </w:r>
      <w:r>
        <w:rPr>
          <w:lang w:val="ru-RU"/>
        </w:rPr>
        <w:t xml:space="preserve"> — интеллектуальный контроллер управления мезонинным модулем AMC;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B2B (Board-to-Board)</w:t>
      </w:r>
      <w:r>
        <w:rPr>
          <w:lang w:val="ru-RU"/>
        </w:rPr>
        <w:t xml:space="preserve"> — специализированный высоконадежный межплатный соединитель сопряжения базовой платы и субплаты;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FRU (Field Replaceable Unit)</w:t>
      </w:r>
      <w:r>
        <w:rPr>
          <w:lang w:val="ru-RU"/>
        </w:rPr>
        <w:t xml:space="preserve"> — заменяемая функциональная единица и паспортные данные о ней;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IPMB-L</w:t>
      </w:r>
      <w:r>
        <w:rPr>
          <w:lang w:val="ru-RU"/>
        </w:rPr>
        <w:t xml:space="preserve"> — локальная шина управления мезонинным модулем AMC;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Fabric</w:t>
      </w:r>
      <w:r>
        <w:rPr>
          <w:lang w:val="ru-RU"/>
        </w:rPr>
        <w:t xml:space="preserve"> — канал передачи пользовательского трафика Ethernet (10GbE / 1GbE);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Base</w:t>
      </w:r>
      <w:r>
        <w:rPr>
          <w:lang w:val="ru-RU"/>
        </w:rPr>
        <w:t xml:space="preserve"> — служебный канал Ethernet управления и телеметрии (1GbE);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E-Keying (Electronic Keying)</w:t>
      </w:r>
      <w:r>
        <w:rPr>
          <w:lang w:val="ru-RU"/>
        </w:rPr>
        <w:t xml:space="preserve"> — электронный контроль совместимости соединяемых интерфейсов;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Multi-Boot</w:t>
      </w:r>
      <w:r>
        <w:rPr>
          <w:lang w:val="ru-RU"/>
        </w:rPr>
        <w:t xml:space="preserve"> — механизм динамической загрузки требуемой конфигурации ПЛИС из энергонезависимой памяти;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Golden Image (Fallback Image)</w:t>
      </w:r>
      <w:r>
        <w:rPr>
          <w:lang w:val="ru-RU"/>
        </w:rPr>
        <w:t xml:space="preserve"> — защищенный заводской базовый образ конфигурации ПЛИС для гарантированного восстановления при сбоях;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Board ID</w:t>
      </w:r>
      <w:r>
        <w:rPr>
          <w:lang w:val="ru-RU"/>
        </w:rPr>
        <w:t xml:space="preserve"> — аппаратный идентификатор типа установленной интерфейсной субплаты в памяти I2C EEPROM;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AXI (Advanced eXtensible Interface)</w:t>
      </w:r>
      <w:r>
        <w:rPr>
          <w:lang w:val="ru-RU"/>
        </w:rPr>
        <w:t xml:space="preserve"> — стандартизованная внутрикристальная шина сопряжения IP-ядер;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TDM (Time Division Multiplexing)</w:t>
      </w:r>
      <w:r>
        <w:rPr>
          <w:lang w:val="ru-RU"/>
        </w:rPr>
        <w:t xml:space="preserve"> — режим мультиплексирования с разделением по времени;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РМО</w:t>
      </w:r>
      <w:r>
        <w:rPr>
          <w:lang w:val="ru-RU"/>
        </w:rPr>
        <w:t xml:space="preserve"> — рабочее место оператора (программный комплекс визуализации и диспетчеризации);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ЭМС</w:t>
      </w:r>
      <w:r>
        <w:rPr>
          <w:lang w:val="ru-RU"/>
        </w:rPr>
        <w:t xml:space="preserve"> — электромагнитная совместимость;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ОКР</w:t>
      </w:r>
      <w:r>
        <w:rPr>
          <w:lang w:val="ru-RU"/>
        </w:rPr>
        <w:t xml:space="preserve"> — опытно-конструкторская работа;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РКД</w:t>
      </w:r>
      <w:r>
        <w:rPr>
          <w:lang w:val="ru-RU"/>
        </w:rPr>
        <w:t xml:space="preserve"> — рабочая конструкторская документация;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ПМИ</w:t>
      </w:r>
      <w:r>
        <w:rPr>
          <w:lang w:val="ru-RU"/>
        </w:rPr>
        <w:t xml:space="preserve"> — программа и методики испытаний.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Применимые нормативные и справочные документы</w:t>
      </w:r>
    </w:p>
    <w:p>
      <w:pPr>
        <w:pStyle w:val="Normal"/>
        <w:rPr>
          <w:lang w:val="ru-RU"/>
        </w:rPr>
      </w:pPr>
      <w:r>
        <w:rPr>
          <w:lang w:val="ru-RU"/>
        </w:rPr>
        <w:t>При разработке базовой платы AMC применяются следующие стандарты и спецификации: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PICMG AMC.0 R2.0</w:t>
      </w:r>
      <w:r>
        <w:rPr>
          <w:lang w:val="ru-RU"/>
        </w:rPr>
        <w:t xml:space="preserve"> — Advanced Mezzanine Card Base Specification (базовая спецификация механики, питания, управления MMC и соединителей AMC);</w:t>
      </w:r>
    </w:p>
    <w:p>
      <w:pPr>
        <w:pStyle w:val="Normal"/>
        <w:rPr/>
      </w:pPr>
      <w:r>
        <w:rPr>
          <w:b/>
        </w:rPr>
        <w:t>PICMG AMC.2 R1.0</w:t>
      </w:r>
      <w:r>
        <w:rPr/>
        <w:t xml:space="preserve"> — Gigabit Ethernet and 10 Gigabit Ethernet on AMC (</w:t>
      </w:r>
      <w:r>
        <w:rPr>
          <w:lang w:val="ru-RU"/>
        </w:rPr>
        <w:t>спецификация</w:t>
      </w:r>
      <w:r>
        <w:rPr/>
        <w:t xml:space="preserve"> </w:t>
      </w:r>
      <w:r>
        <w:rPr>
          <w:lang w:val="ru-RU"/>
        </w:rPr>
        <w:t>интерфейсов</w:t>
      </w:r>
      <w:r>
        <w:rPr/>
        <w:t xml:space="preserve"> Ethernet 1GbE/10GbE </w:t>
      </w:r>
      <w:r>
        <w:rPr>
          <w:lang w:val="ru-RU"/>
        </w:rPr>
        <w:t>на</w:t>
      </w:r>
      <w:r>
        <w:rPr/>
        <w:t xml:space="preserve"> AMC);</w:t>
      </w:r>
    </w:p>
    <w:p>
      <w:pPr>
        <w:pStyle w:val="Normal"/>
        <w:rPr/>
      </w:pPr>
      <w:r>
        <w:rPr>
          <w:b/>
        </w:rPr>
        <w:t>IPMI v2.0 revision 1.1</w:t>
      </w:r>
      <w:r>
        <w:rPr/>
        <w:t xml:space="preserve"> — Intelligent Platform Management Interface Specification (</w:t>
      </w:r>
      <w:r>
        <w:rPr>
          <w:lang w:val="ru-RU"/>
        </w:rPr>
        <w:t>интерфейс</w:t>
      </w:r>
      <w:r>
        <w:rPr/>
        <w:t xml:space="preserve"> </w:t>
      </w:r>
      <w:r>
        <w:rPr>
          <w:lang w:val="ru-RU"/>
        </w:rPr>
        <w:t>интеллектуального</w:t>
      </w:r>
      <w:r>
        <w:rPr/>
        <w:t xml:space="preserve"> </w:t>
      </w:r>
      <w:r>
        <w:rPr>
          <w:lang w:val="ru-RU"/>
        </w:rPr>
        <w:t>управления</w:t>
      </w:r>
      <w:r>
        <w:rPr/>
        <w:t xml:space="preserve"> </w:t>
      </w:r>
      <w:r>
        <w:rPr>
          <w:lang w:val="ru-RU"/>
        </w:rPr>
        <w:t>платформой</w:t>
      </w:r>
      <w:r>
        <w:rPr/>
        <w:t>);</w:t>
      </w:r>
    </w:p>
    <w:p>
      <w:pPr>
        <w:pStyle w:val="Normal"/>
        <w:rPr/>
      </w:pPr>
      <w:r>
        <w:rPr>
          <w:b/>
        </w:rPr>
        <w:t>IEEE 802.3</w:t>
      </w:r>
      <w:r>
        <w:rPr/>
        <w:t xml:space="preserve"> — </w:t>
      </w:r>
      <w:r>
        <w:rPr>
          <w:lang w:val="ru-RU"/>
        </w:rPr>
        <w:t>Стандарты</w:t>
      </w:r>
      <w:r>
        <w:rPr/>
        <w:t xml:space="preserve"> </w:t>
      </w:r>
      <w:r>
        <w:rPr>
          <w:lang w:val="ru-RU"/>
        </w:rPr>
        <w:t>проводных</w:t>
      </w:r>
      <w:r>
        <w:rPr/>
        <w:t xml:space="preserve"> </w:t>
      </w:r>
      <w:r>
        <w:rPr>
          <w:lang w:val="ru-RU"/>
        </w:rPr>
        <w:t>сетей</w:t>
      </w:r>
      <w:r>
        <w:rPr/>
        <w:t xml:space="preserve"> Ethernet (10GBASE-KR, 1000BASE-BX / SGMII);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РВ 20.39.304-98</w:t>
      </w:r>
      <w:r>
        <w:rPr>
          <w:lang w:val="ru-RU"/>
        </w:rPr>
        <w:t xml:space="preserve"> — Комплексная система общих технических требований. Аппаратура, приборы, устройства и оборудование военного назначения. Требования стойкости к внешним воздействующим факторам;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В 25803-91</w:t>
      </w:r>
      <w:r>
        <w:rPr>
          <w:lang w:val="ru-RU"/>
        </w:rPr>
        <w:t xml:space="preserve"> — Радиопомехи индустриальные от оборудования военного назначения. Нормы и методы испытаний;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2.114-2016</w:t>
      </w:r>
      <w:r>
        <w:rPr>
          <w:lang w:val="ru-RU"/>
        </w:rPr>
        <w:t xml:space="preserve"> — Единая система конструкторской документации. Технические условия;</w:t>
      </w:r>
    </w:p>
    <w:p>
      <w:pPr>
        <w:pStyle w:val="Normal"/>
        <w:rPr>
          <w:lang w:val="ru-RU"/>
        </w:rPr>
      </w:pPr>
      <w:r>
        <w:rPr>
          <w:b/>
          <w:lang w:val="ru-RU"/>
        </w:rPr>
        <w:t>ГОСТ РВ 15.201-2003</w:t>
      </w:r>
      <w:r>
        <w:rPr>
          <w:lang w:val="ru-RU"/>
        </w:rPr>
        <w:t xml:space="preserve"> — Система разработки и постановки продукции на производство. Военная техника. Тактико-техническое (техническое) задание на выполнение опытно-конструкторских работ.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Normal"/>
        <w:spacing w:before="0" w:after="0"/>
        <w:rPr>
          <w:lang w:val="ru-RU"/>
        </w:rPr>
      </w:pPr>
      <w:r>
        <w:rPr>
          <w:lang w:val="ru-RU"/>
        </w:rPr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1. Наименование, шифр, основание, исполнители и сроки ОКР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1.1. Наименование</w:t>
      </w:r>
    </w:p>
    <w:p>
      <w:pPr>
        <w:pStyle w:val="Normal"/>
        <w:rPr>
          <w:lang w:val="ru-RU"/>
        </w:rPr>
      </w:pPr>
      <w:r>
        <w:rPr>
          <w:lang w:val="ru-RU"/>
        </w:rPr>
        <w:t>Полное наименование составной части ОКР: «Разработка универсальной базовой цифровой платы интерфейсных мезонинных модулей стандарта Advanced Mezzanine Card (AMC) для семейства устройств ДММП».</w:t>
      </w:r>
    </w:p>
    <w:p>
      <w:pPr>
        <w:pStyle w:val="Normal"/>
        <w:rPr>
          <w:lang w:val="ru-RU"/>
        </w:rPr>
      </w:pPr>
      <w:r>
        <w:rPr>
          <w:lang w:val="ru-RU"/>
        </w:rPr>
        <w:t>Разрабатываемая плата далее по тексту именуется базовой платой AMC или БП AMC.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1.2. Шифр</w:t>
      </w:r>
    </w:p>
    <w:p>
      <w:pPr>
        <w:pStyle w:val="Normal"/>
        <w:rPr>
          <w:lang w:val="ru-RU"/>
        </w:rPr>
      </w:pPr>
      <w:r>
        <w:rPr>
          <w:lang w:val="ru-RU"/>
        </w:rPr>
        <w:t>Шифр ОКР — «Развитие-ТСА».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1.3. Основание выполнения</w:t>
      </w:r>
    </w:p>
    <w:p>
      <w:pPr>
        <w:pStyle w:val="Normal"/>
        <w:rPr>
          <w:lang w:val="ru-RU"/>
        </w:rPr>
      </w:pPr>
      <w:r>
        <w:rPr>
          <w:lang w:val="ru-RU"/>
        </w:rPr>
        <w:t>Основание выполнения ОКР — приказ об открытии инициативной опытно-конструкторской работы «Развитие-ТСА» № _____ от __________.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1.4. Исполнитель</w:t>
      </w:r>
    </w:p>
    <w:p>
      <w:pPr>
        <w:pStyle w:val="Normal"/>
        <w:rPr>
          <w:lang w:val="ru-RU"/>
        </w:rPr>
      </w:pPr>
      <w:r>
        <w:rPr>
          <w:lang w:val="ru-RU"/>
        </w:rPr>
        <w:t>Исполнителем ОКР является ООО тушканчик.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1.5. Срок выполнения</w:t>
      </w:r>
    </w:p>
    <w:p>
      <w:pPr>
        <w:pStyle w:val="Normal"/>
        <w:rPr>
          <w:lang w:val="ru-RU"/>
        </w:rPr>
      </w:pPr>
      <w:r>
        <w:rPr>
          <w:lang w:val="ru-RU"/>
        </w:rPr>
        <w:t>Срок выполнения ОКР определяется согласно утверждённому плану-графику разработки рабочей конструкторской и программной документации, изготовления опытных образцов и проведения испытаний.</w:t>
      </w:r>
    </w:p>
    <w:p>
      <w:pPr>
        <w:pStyle w:val="Normal"/>
        <w:spacing w:lineRule="auto" w:line="276" w:before="0" w:after="200"/>
        <w:ind w:hanging="0"/>
        <w:jc w:val="left"/>
        <w:rPr>
          <w:lang w:val="ru-RU"/>
        </w:rPr>
      </w:pPr>
      <w:r>
        <w:rPr>
          <w:lang w:val="ru-RU"/>
        </w:rPr>
      </w:r>
      <w:r>
        <w:br w:type="page"/>
      </w:r>
    </w:p>
    <w:p>
      <w:pPr>
        <w:pStyle w:val="Heading1"/>
        <w:spacing w:before="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2. Цель выполнения, наименование, назначение и область применения изделия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2.1. Цель ОКР</w:t>
      </w:r>
    </w:p>
    <w:p>
      <w:pPr>
        <w:pStyle w:val="Normal"/>
        <w:rPr>
          <w:lang w:val="ru-RU"/>
        </w:rPr>
      </w:pPr>
      <w:r>
        <w:rPr>
          <w:lang w:val="ru-RU"/>
        </w:rPr>
        <w:t>Целью работы является разработка комплекта РКД, базового микропрограммного обеспечения и изготовление опытных образцов унифицированной базовой цифровой платы AMC, образующей совместно со сменными интерфейсными субплатами законченные модули AMC (E1, STM-1, C37.94, RS-485, E2/E3), обеспечивающие цифровую обработку сигналов, двунаправленную инкапсуляцию трафика в Ethernet и сопряжение с несущей платой Carrier в составе платформы ДММП.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2.2. Назначение</w:t>
      </w:r>
    </w:p>
    <w:p>
      <w:pPr>
        <w:pStyle w:val="Normal"/>
        <w:rPr>
          <w:lang w:val="ru-RU"/>
        </w:rPr>
      </w:pPr>
      <w:r>
        <w:rPr>
          <w:lang w:val="ru-RU"/>
        </w:rPr>
        <w:t>Базовая плата AMC предназначена для создания законченных функциональных мезонинов AMC и обеспечивает: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размещение высокопроизводительного вычислительного узла на базе ПЛИС/SoC для цифровой обработки сигналов и протокольной инкапсуляции трафика;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механическую установку и электрическое сопряжение сменных интерфейсных субплат через стандартизованный межплатный разъем B2B;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автоматическую идентификацию типа установленной субплаты (Board ID) по шине I2C и динамическую многообразовую загрузку (Multi-Boot) с защитой Fallback/Golden Image;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передачу агрегированного пользовательского трафика к коммутатору Fabric платы Carrier по каналу Ethernet 10GbE (10GBASE-KR / XFI) со сверхнизким фазовым джиттером;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передачу служебного трафика управления и телеметрии к сети Base платы Carrier по каналу Ethernet 1GbE (1000BASE-BX / SGMII);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интеллектуальное управление платформой мезонина через независимый контроллер MMC (состояния M0–M7, шина IPMB-L, E-Keying);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прием системных тактовых частот от платы Carrier (линии TCLK) и выдачу восстановленных частот синхронизации от субплаты;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преобразование и индивидуальное распределение вторичных напряжений питания с аппаратной защитой PS1#;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эффективное рассеивание тепла от кристалла ПЛИС через интегрированный силовой лонжерон-теплоотвод.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2.3. Область применения</w:t>
      </w:r>
    </w:p>
    <w:p>
      <w:pPr>
        <w:pStyle w:val="Normal"/>
        <w:rPr>
          <w:lang w:val="ru-RU"/>
        </w:rPr>
      </w:pPr>
      <w:r>
        <w:rPr>
          <w:lang w:val="ru-RU"/>
        </w:rPr>
        <w:t>Базовая плата AMC в сборе с интерфейсными субплатами применяется в посадочных местах плат-носителей Carrier шасси 3U, 6U и 14U модульной платформы ДММП.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3. Технические требования к изделию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3.1. Архитектура и двухплатная модульная концепция</w:t>
      </w:r>
    </w:p>
    <w:p>
      <w:pPr>
        <w:pStyle w:val="Normal"/>
        <w:rPr>
          <w:lang w:val="ru-RU"/>
        </w:rPr>
      </w:pPr>
      <w:r>
        <w:rPr>
          <w:lang w:val="ru-RU"/>
        </w:rPr>
        <w:t>3.1.1. Модуль AMC реализуется по двухплатной модульной схеме: универсальная цифровая базовая плата AMC + сменная интерфейсная субплата (Front-End Daughterboard), соединенные через межплатный высокоскоростной разъем B2B, металлические стойки и силовой кронштейн-лонжерон.</w:t>
      </w:r>
    </w:p>
    <w:p>
      <w:pPr>
        <w:pStyle w:val="Normal"/>
        <w:rPr>
          <w:lang w:val="ru-RU"/>
        </w:rPr>
      </w:pPr>
      <w:r>
        <w:rPr>
          <w:lang w:val="ru-RU"/>
        </w:rPr>
        <w:t>3.1.2. Базовая плата AMC объединяет в себе все унифицированные вычислительные и служебные узлы: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 xml:space="preserve">ПЛИС / SoC высокой степени интеграции (семейства Xilinx Zynq-7000 / Kintex-7/ </w:t>
      </w:r>
      <w:r>
        <w:rPr/>
        <w:t>Ultrascale</w:t>
      </w:r>
      <w:r>
        <w:rPr>
          <w:lang w:val="ru-RU"/>
        </w:rPr>
        <w:t>+ либо аналог);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оперативную память DDR3/DDR4 объемом не менее 1 Гбайт;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энергонезависимую Flash-память объемом не менее 128 Мбайт с поддержкой мультиобразовой загрузки (Multi-Boot) и защищенной областью Golden Image;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контроллер управления модулем (MMC), запитанный от дежурного питания +3,3 В;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импульсные DC/DC преобразователи основного питания (+12 В);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высокоскоростной краевой соединитель AMC Card Edge (PICMG AMC.0);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стандартизованный межплатный соединитель B2B для подключения интерфейсных субплат.</w:t>
      </w:r>
    </w:p>
    <w:p>
      <w:pPr>
        <w:pStyle w:val="Normal"/>
        <w:rPr>
          <w:lang w:val="ru-RU"/>
        </w:rPr>
      </w:pPr>
      <w:r>
        <w:rPr>
          <w:lang w:val="ru-RU"/>
        </w:rPr>
        <w:t>3.1.3. Сменные интерфейсные субплаты содержат специализированные физические трансиверы (PHY/LIU/RS-485), гальваническую развязку, защитные цепи, разъемы лицевой панели и микросхему Board ID EEPROM.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3.2. Межплатный интерфейс сопряжения (Разъем B2B) и согласование уровней</w:t>
      </w:r>
    </w:p>
    <w:p>
      <w:pPr>
        <w:pStyle w:val="Normal"/>
        <w:rPr>
          <w:lang w:val="ru-RU"/>
        </w:rPr>
      </w:pPr>
      <w:r>
        <w:rPr>
          <w:lang w:val="ru-RU"/>
        </w:rPr>
        <w:t>3.2.1. Межплатное соединение базовой платы и субплаты выполняется на базе высоконадежного соединителя типа Board-to-Board с экранированными дифференциальными парами и фиксированным импедансом 100 Ом.</w:t>
      </w:r>
    </w:p>
    <w:p>
      <w:pPr>
        <w:pStyle w:val="Normal"/>
        <w:rPr>
          <w:lang w:val="ru-RU"/>
        </w:rPr>
      </w:pPr>
      <w:r>
        <w:rPr>
          <w:lang w:val="ru-RU"/>
        </w:rPr>
        <w:t>3.2.2. Контактная группа разъема B2B должна включать следующие обязательные цепи: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High-Speed цепи: не менее 6 дифференциальных пар (LVDS / SerDes со скоростью до 3,125–6,25 Гбит/с);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General TDM / GPIO цепи: не менее 32 цифровых линий ввода-вывода;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Clock цепи: экранированные дифференциальные пары опорной тактовой частоты (TX_CLK) и восстановленной частоты (RX_CLK);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Management цепи: независимая шина I2C для считывания микросхемы идентификации субплаты (Board ID EEPROM) и термодатчиков;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Силовые цепи: шины питания +12 В (защищенная), +3,3 В и +1,8 В.</w:t>
      </w:r>
    </w:p>
    <w:p>
      <w:pPr>
        <w:pStyle w:val="Normal"/>
        <w:rPr>
          <w:lang w:val="ru-RU"/>
        </w:rPr>
      </w:pPr>
      <w:r>
        <w:rPr>
          <w:lang w:val="ru-RU"/>
        </w:rPr>
        <w:t>3.2.3. Для обеспечения электрической совместимости с различными субплатами банки ввода-вывода ПЛИС, подключенные к разъему B2B, должны использовать напряжение питания VCCO, формируемое субплатой (1,8 В или 3,3 В), либо на базовой плате должны применяться двунаправленные согласователи логических уровней.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3.3. Автоматическая идентификация, Multi-Boot и защита от сбоев (Golden Image)</w:t>
      </w:r>
    </w:p>
    <w:p>
      <w:pPr>
        <w:pStyle w:val="Normal"/>
        <w:rPr>
          <w:lang w:val="ru-RU"/>
        </w:rPr>
      </w:pPr>
      <w:r>
        <w:rPr>
          <w:lang w:val="ru-RU"/>
        </w:rPr>
        <w:t>3.3.1. На каждой интерфейсной субплате устанавливается микросхема энергонезависимой памяти I2C EEPROM, хранящая уникальный код типа субплаты (Board ID), аппаратную ревизию и калибровочные коэффициенты.</w:t>
      </w:r>
    </w:p>
    <w:p>
      <w:pPr>
        <w:pStyle w:val="Normal"/>
        <w:rPr>
          <w:lang w:val="ru-RU"/>
        </w:rPr>
      </w:pPr>
      <w:r>
        <w:rPr>
          <w:lang w:val="ru-RU"/>
        </w:rPr>
        <w:t>3.3.2. При подаче дежурного питания контроллер MMC или первичный аппаратный загрузчик базовой платы считывает код Board ID субплаты.</w:t>
      </w:r>
    </w:p>
    <w:p>
      <w:pPr>
        <w:pStyle w:val="Normal"/>
        <w:rPr>
          <w:lang w:val="ru-RU"/>
        </w:rPr>
      </w:pPr>
      <w:r>
        <w:rPr>
          <w:lang w:val="ru-RU"/>
        </w:rPr>
        <w:t>3.3.3. ПЛИС базовой платы аппаратно поддерживает динамическую многообразовую конфигурацию (Multi-Boot): в зависимости от считанного Board ID из энергонезависимой Flash-памяти автоматически загружается целевой битовый поток (bitstream) соответствующего интерфейса (E1, STM-1, C37.94, RS-485, E2/E3).</w:t>
      </w:r>
    </w:p>
    <w:p>
      <w:pPr>
        <w:pStyle w:val="Normal"/>
        <w:rPr>
          <w:lang w:val="ru-RU"/>
        </w:rPr>
      </w:pPr>
      <w:r>
        <w:rPr>
          <w:lang w:val="ru-RU"/>
        </w:rPr>
        <w:t>3.3.4. В энергонезависимой Flash-памяти базовой платы выделяется защищенная от перезаписи область заводского аварийного образа (Golden Image / Fallback). В случае сбоя загрузки, повреждения контрольной суммы CRC32 или ошибки прошивки целевого интерфейса ПЛИС автоматически выполняет откат, поднимает служебный канал 1GbE Base и передает в РМО диагностическое сообщение об ошибке.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3.4. Форм-фактор, механика, лонжерон-теплоотвод и вибростойкость</w:t>
      </w:r>
    </w:p>
    <w:p>
      <w:pPr>
        <w:pStyle w:val="Normal"/>
        <w:rPr>
          <w:lang w:val="ru-RU"/>
        </w:rPr>
      </w:pPr>
      <w:r>
        <w:rPr>
          <w:lang w:val="ru-RU"/>
        </w:rPr>
        <w:t>3.4.1. Базовая плата в сборе с интерфейсной субплатой должна строго вписываться в габариты одинарного полноразмерного модуля Single Full-size AMC.0 (габариты плат 73,5 × 180,6 мм, предельная высота модуля 28,95 мм).</w:t>
      </w:r>
    </w:p>
    <w:p>
      <w:pPr>
        <w:pStyle w:val="Normal"/>
        <w:rPr>
          <w:lang w:val="ru-RU"/>
        </w:rPr>
      </w:pPr>
      <w:r>
        <w:rPr>
          <w:lang w:val="ru-RU"/>
        </w:rPr>
        <w:t>3.4.2. Для обеспечения стойкости к механическим воздействиям по ГОСТ РВ 20.39.304-98 (вибрация 5g в диапазоне 5–500 Гц и удары 15g) базовая плата и интерфейсная субплата жестко стягиваются между собой не менее чем 4–6 металлическими резьбовыми стойками М2,5.</w:t>
      </w:r>
    </w:p>
    <w:p>
      <w:pPr>
        <w:pStyle w:val="Normal"/>
        <w:rPr>
          <w:lang w:val="ru-RU"/>
        </w:rPr>
      </w:pPr>
      <w:r>
        <w:rPr>
          <w:lang w:val="ru-RU"/>
        </w:rPr>
        <w:t>3.4.3. Отвод тепла от кристалла ПЛИС и силовых DC/DC преобразователей, а также обеспечение продольной жесткости конструкции должны осуществляться с помощью единого фрезерованного алюминиевого лонжерона-теплоотвода (Stiffener/Heatsink Frame) с продольным оребрением под принудительный воздушный поток шасси.</w:t>
      </w:r>
    </w:p>
    <w:p>
      <w:pPr>
        <w:pStyle w:val="Normal"/>
        <w:rPr>
          <w:lang w:val="ru-RU"/>
        </w:rPr>
      </w:pPr>
      <w:r>
        <w:rPr>
          <w:lang w:val="ru-RU"/>
        </w:rPr>
        <w:t>3.4.4. Лицевая панель AMC жестко крепится к лонжерону-теплоотводу и обеим платам и предусматривает узлы дополнительной винтовой фиксации к плате-носителю Carrier для блокировки микроперемещений разъема Card Edge и предотвращения ложного размыкания переключателя PS1#.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3.5. Контроллер управления мезонином (MMC) и интерфейсы управления</w:t>
      </w:r>
    </w:p>
    <w:p>
      <w:pPr>
        <w:pStyle w:val="Normal"/>
        <w:rPr>
          <w:lang w:val="ru-RU"/>
        </w:rPr>
      </w:pPr>
      <w:r>
        <w:rPr>
          <w:lang w:val="ru-RU"/>
        </w:rPr>
        <w:t>3.5.1. Контроллер MMC функционирует от дежурного питания +3,3 В независимо от состояния ПЛИС и основного питания +12 В.</w:t>
      </w:r>
    </w:p>
    <w:p>
      <w:pPr>
        <w:pStyle w:val="Normal"/>
        <w:rPr>
          <w:lang w:val="ru-RU"/>
        </w:rPr>
      </w:pPr>
      <w:r>
        <w:rPr>
          <w:lang w:val="ru-RU"/>
        </w:rPr>
        <w:t>3.5.2. MMC реализует конечный автомат состояний модуля AMC.0 (состояния M0–M7), взаимодействует с IPMC платы Carrier по локальной шине IPMB-L, формирует динамический паспорт FRU с учетом типа установленной субплаты и управляет светодиодным индикатором Hot-Swap.</w:t>
      </w:r>
    </w:p>
    <w:p>
      <w:pPr>
        <w:pStyle w:val="Normal"/>
        <w:rPr>
          <w:lang w:val="ru-RU"/>
        </w:rPr>
      </w:pPr>
      <w:r>
        <w:rPr>
          <w:lang w:val="ru-RU"/>
        </w:rPr>
        <w:t>3.5.3. Сбои или обновление прошивки ПЛИС не должны нарушать функционирование контроллера MMC.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3.6. Сетевые каналы Fabric и Base к плате Carrier</w:t>
      </w:r>
    </w:p>
    <w:p>
      <w:pPr>
        <w:pStyle w:val="Normal"/>
        <w:rPr>
          <w:lang w:val="ru-RU"/>
        </w:rPr>
      </w:pPr>
      <w:r>
        <w:rPr>
          <w:lang w:val="ru-RU"/>
        </w:rPr>
        <w:t>3.6.1. Пользовательский трафик передается на коммутатор Fabric платы Carrier по каналу Ethernet 10GbE (10GBASE-KR / XFI) с аппаратной поддержкой приоритезации Strict Priority QoS.</w:t>
      </w:r>
    </w:p>
    <w:p>
      <w:pPr>
        <w:pStyle w:val="Normal"/>
        <w:rPr>
          <w:lang w:val="ru-RU"/>
        </w:rPr>
      </w:pPr>
      <w:r>
        <w:rPr>
          <w:lang w:val="ru-RU"/>
        </w:rPr>
        <w:t>3.6.2. Служебный трафик управления, мониторинга и обновления передается по каналу Base Ethernet 1GbE (1000BASE-BX / SGMII).</w:t>
      </w:r>
    </w:p>
    <w:p>
      <w:pPr>
        <w:pStyle w:val="Normal"/>
        <w:rPr>
          <w:lang w:val="ru-RU"/>
        </w:rPr>
      </w:pPr>
      <w:r>
        <w:rPr>
          <w:lang w:val="ru-RU"/>
        </w:rPr>
        <w:t>3.6.3. Высокоскоростные передатчики Fabric и Base включаются только после успешного завершения процедуры E-Keying контроллером MMC.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3.7. Электропитание и защитные цепи</w:t>
      </w:r>
    </w:p>
    <w:p>
      <w:pPr>
        <w:pStyle w:val="Normal"/>
        <w:rPr>
          <w:lang w:val="ru-RU"/>
        </w:rPr>
      </w:pPr>
      <w:r>
        <w:rPr>
          <w:lang w:val="ru-RU"/>
        </w:rPr>
        <w:t>3.7.1. Модуль AMC получает от платы Carrier дежурное питание +3,3 В и основное силовое питание +12 В.</w:t>
      </w:r>
    </w:p>
    <w:p>
      <w:pPr>
        <w:pStyle w:val="Normal"/>
        <w:rPr>
          <w:lang w:val="ru-RU"/>
        </w:rPr>
      </w:pPr>
      <w:r>
        <w:rPr>
          <w:lang w:val="ru-RU"/>
        </w:rPr>
        <w:t>3.7.2. Номинальная потребляемая мощность базовой платы AMC не должна превышать 40 Вт (суммарная мощность с интерфейсной субплатой — не более 60 Вт штатно, до 80 Вт пиково).</w:t>
      </w:r>
    </w:p>
    <w:p>
      <w:pPr>
        <w:pStyle w:val="Normal"/>
        <w:rPr>
          <w:lang w:val="ru-RU"/>
        </w:rPr>
      </w:pPr>
      <w:r>
        <w:rPr>
          <w:lang w:val="ru-RU"/>
        </w:rPr>
        <w:t>3.7.3. При аппаратном размыкании фиксатора ручки горячей замены (сигнал PS1#) силовые цепи +12 В базовой платы должны аппаратно обесточиваться за время не более 100 мкс.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3.8. Тактовая синхронизация и параметры джиттера</w:t>
      </w:r>
    </w:p>
    <w:p>
      <w:pPr>
        <w:pStyle w:val="Normal"/>
        <w:rPr>
          <w:lang w:val="ru-RU"/>
        </w:rPr>
      </w:pPr>
      <w:r>
        <w:rPr>
          <w:lang w:val="ru-RU"/>
        </w:rPr>
        <w:t>3.8.1. Базовая плата принимает опорные системные тактовые сигналы от платы Carrier по дифференциальным линиям TCLKA/TCLKC и распределяет их на ПЛИС и субплату.</w:t>
      </w:r>
    </w:p>
    <w:p>
      <w:pPr>
        <w:pStyle w:val="Normal"/>
        <w:rPr>
          <w:lang w:val="ru-RU"/>
        </w:rPr>
      </w:pPr>
      <w:r>
        <w:rPr>
          <w:lang w:val="ru-RU"/>
        </w:rPr>
        <w:t>3.8.2. Базовая плата принимает восстановленную тактовую частоту от субплаты и через управляемый буфер выдает ее на выделенную линию TCLK платы Carrier.</w:t>
      </w:r>
    </w:p>
    <w:p>
      <w:pPr>
        <w:pStyle w:val="Normal"/>
        <w:rPr>
          <w:lang w:val="ru-RU"/>
        </w:rPr>
      </w:pPr>
      <w:r>
        <w:rPr>
          <w:lang w:val="ru-RU"/>
        </w:rPr>
        <w:t>3.8.3. Локальный опорный тактовый генератор 156,25 МГц для SerDes-трансиверов 10GbE должен иметь среднеквадратичный фазовый джиттер (RMS Phase Jitter) не более 300 фемтосекунд в полосе частот от 12 кГц до 20 МГц.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3.9. Условия эксплуатации, стойкость к внешним воздействиям и ЭМС</w:t>
      </w:r>
    </w:p>
    <w:p>
      <w:pPr>
        <w:pStyle w:val="Normal"/>
        <w:rPr>
          <w:lang w:val="ru-RU"/>
        </w:rPr>
      </w:pPr>
      <w:r>
        <w:rPr>
          <w:lang w:val="ru-RU"/>
        </w:rPr>
        <w:t>3.9.1. По стойкости к внешним воздействующим факторам базовая плата в сборе с субплатой должна соответствовать ГОСТ РВ 20.39.304-98 для групп 1.1, 1.3, 1.4.1 (климатическое исполнение «О» для аппаратуры внутреннего размещения):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температура окружающего воздуха: рабочая от минус 10 °С до плюс 50 °С, предельная от минус 40 °С до плюс 65 °С;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синусоидальная вибрация в диапазоне (5...500) Гц с амплитудой ускорения до 50 м/с² (5g);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• </w:t>
      </w:r>
      <w:r>
        <w:rPr>
          <w:lang w:val="ru-RU"/>
        </w:rPr>
        <w:t>механический удар многократного действия с пиковым ускорением 150 м/с² (15g) при длительности 5...15 мс.</w:t>
      </w:r>
    </w:p>
    <w:p>
      <w:pPr>
        <w:pStyle w:val="Normal"/>
        <w:rPr>
          <w:lang w:val="ru-RU"/>
        </w:rPr>
      </w:pPr>
      <w:r>
        <w:rPr>
          <w:lang w:val="ru-RU"/>
        </w:rPr>
        <w:t>3.9.2. По уровню индустриальных радиопомех изделие должно соответствовать нормам группы 1.1.1 ГОСТ В 25803-91.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3.10. Надежность</w:t>
      </w:r>
    </w:p>
    <w:p>
      <w:pPr>
        <w:pStyle w:val="Normal"/>
        <w:rPr>
          <w:lang w:val="ru-RU"/>
        </w:rPr>
      </w:pPr>
      <w:r>
        <w:rPr>
          <w:lang w:val="ru-RU"/>
        </w:rPr>
        <w:t>3.10.1. Средняя наработка на отказ (MTBF) базовой платы AMC должна составлять не менее 15 000 часов.</w:t>
      </w:r>
    </w:p>
    <w:p>
      <w:pPr>
        <w:pStyle w:val="Normal"/>
        <w:rPr>
          <w:lang w:val="ru-RU"/>
        </w:rPr>
      </w:pPr>
      <w:r>
        <w:rPr>
          <w:lang w:val="ru-RU"/>
        </w:rPr>
        <w:t>3.10.2. Назначенный срок службы изделия до списания должен составлять не менее 20 лет.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4. Технико-экономические требования</w:t>
      </w:r>
    </w:p>
    <w:p>
      <w:pPr>
        <w:pStyle w:val="Normal"/>
        <w:rPr>
          <w:lang w:val="ru-RU"/>
        </w:rPr>
      </w:pPr>
      <w:r>
        <w:rPr>
          <w:lang w:val="ru-RU"/>
        </w:rPr>
        <w:t>Требования не предъявляются.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5. Требования к видам обеспечения</w:t>
      </w:r>
    </w:p>
    <w:p>
      <w:pPr>
        <w:pStyle w:val="TOCHeading"/>
        <w:spacing w:before="320" w:after="8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5.1. Нормативно-техническое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Разработка базовой платы AMC должна выполняться в соответствии со стандартами PICMG AMC.0 R2.0, PICMG AMC.2, IPMI v2.0, ГОСТ РВ 20.39.304-98 и ГОСТ В 25803-91.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5.2. Метрологическое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В составе КД должны быть определены допустимые погрешности измерения питающих напряжений, токов потребления и температур ПЛИС, а также методики их калибровки.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5.3. Диагностическое обеспечение</w:t>
      </w:r>
    </w:p>
    <w:p>
      <w:pPr>
        <w:pStyle w:val="Normal"/>
        <w:rPr>
          <w:lang w:val="ru-RU"/>
        </w:rPr>
      </w:pPr>
      <w:r>
        <w:rPr>
          <w:lang w:val="ru-RU"/>
        </w:rPr>
        <w:t>5.3.1. Система встроенной диагностики должна обеспечивать непрерывный контроль датчиков SDR, счетчиков ошибок Ethernet (CRC, drops), целостности прошивки ПЛИС и формирование аварийных сообщений.</w:t>
      </w:r>
    </w:p>
    <w:p>
      <w:pPr>
        <w:pStyle w:val="Normal"/>
        <w:rPr>
          <w:lang w:val="ru-RU"/>
        </w:rPr>
      </w:pPr>
      <w:r>
        <w:rPr>
          <w:lang w:val="ru-RU"/>
        </w:rPr>
        <w:t>5.3.2. В составе технологического оснащения должна быть разработана пассивная технологическая плата, устанавливаемая на разъем B2B, обеспечивающая автоматизированный 100% входной и выходной контроль всех цепей базовой платы (SerDes, GPIO, Clock, Power, I2C) на производстве.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6. Требования к сырью, материалам и комплектующим изделиям</w:t>
      </w:r>
    </w:p>
    <w:p>
      <w:pPr>
        <w:pStyle w:val="Normal"/>
        <w:rPr>
          <w:lang w:val="ru-RU"/>
        </w:rPr>
      </w:pPr>
      <w:r>
        <w:rPr>
          <w:lang w:val="ru-RU"/>
        </w:rPr>
        <w:t>При разработке схемотехники базовой платы AMC приоритет должен отдаваться комплектующим и материалам отечественного производств. При отсутствии отечественных аналогов допускается применение импортной ЭКБ промышленного температурного диапазона.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7. Требования к консервации, упаковке и маркировке</w:t>
      </w:r>
    </w:p>
    <w:p>
      <w:pPr>
        <w:pStyle w:val="Normal"/>
        <w:rPr>
          <w:lang w:val="ru-RU"/>
        </w:rPr>
      </w:pPr>
      <w:r>
        <w:rPr>
          <w:lang w:val="ru-RU"/>
        </w:rPr>
        <w:t>Каждая базовая плата должна иметь маркировку с указанием децимального номера, серийного номера и ревизии. Индивидуальная тара должна обеспечивать защиту от электростатических разрядов (ESD). Срок хранения в заводской таре — не менее 1 года по ГОСТ 15150.</w:t>
      </w:r>
    </w:p>
    <w:p>
      <w:pPr>
        <w:pStyle w:val="Heading1"/>
        <w:spacing w:before="240" w:after="120"/>
        <w:rPr>
          <w:rFonts w:ascii="Times New Roman" w:hAnsi="Times New Roman" w:cs="Times New Roman"/>
          <w:sz w:val="28"/>
          <w:lang w:val="ru-RU"/>
        </w:rPr>
      </w:pPr>
      <w:r>
        <w:rPr>
          <w:rFonts w:cs="Times New Roman" w:ascii="Times New Roman" w:hAnsi="Times New Roman"/>
          <w:sz w:val="28"/>
          <w:lang w:val="ru-RU"/>
        </w:rPr>
        <w:t>8. Специальные требования</w:t>
      </w:r>
    </w:p>
    <w:p>
      <w:pPr>
        <w:pStyle w:val="Heading2"/>
        <w:spacing w:before="160" w:after="80"/>
        <w:rPr>
          <w:rFonts w:ascii="Times New Roman" w:hAnsi="Times New Roman" w:cs="Times New Roman"/>
          <w:lang w:val="ru-RU"/>
        </w:rPr>
      </w:pPr>
      <w:r>
        <w:rPr>
          <w:rFonts w:cs="Times New Roman" w:ascii="Times New Roman" w:hAnsi="Times New Roman"/>
          <w:lang w:val="ru-RU"/>
        </w:rPr>
        <w:t>8.1. Интеграция с программным комплексом РМО</w:t>
      </w:r>
    </w:p>
    <w:p>
      <w:pPr>
        <w:pStyle w:val="Normal"/>
        <w:rPr>
          <w:lang w:val="ru-RU"/>
        </w:rPr>
      </w:pPr>
      <w:r>
        <w:rPr>
          <w:lang w:val="ru-RU"/>
        </w:rPr>
        <w:t>8.1.1. Базовая плата AMC через контроллер MMC и ShMC передает в РМО (C++/Qt) данные телеметрии: тип установленной субплаты, состояние M0–M7, ток потребления, температуру ПЛИС и аварийные статусы «Норма» / «Предавария» / «Авария».</w:t>
      </w:r>
    </w:p>
    <w:p>
      <w:pPr>
        <w:pStyle w:val="Normal"/>
        <w:rPr>
          <w:lang w:val="ru-RU"/>
        </w:rPr>
      </w:pPr>
      <w:r>
        <w:rPr>
          <w:lang w:val="ru-RU"/>
        </w:rPr>
        <w:t>8.1.2. Базовая плата поддерживает выполнение дистанционных команд РМО: безопасная подготовка к извлечению, программный перезапуск (Reset) и удаленное обновление прошивки Flash.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1988"/>
    <w:pPr>
      <w:widowControl/>
      <w:bidi w:val="0"/>
      <w:spacing w:lineRule="auto" w:line="264" w:before="0" w:after="0"/>
      <w:ind w:firstLine="720"/>
      <w:jc w:val="both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041988"/>
    <w:pPr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32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041988"/>
    <w:pPr>
      <w:keepLines/>
      <w:spacing w:before="24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uiPriority w:val="99"/>
    <w:qFormat/>
    <w:rsid w:val="00e618bf"/>
    <w:rPr/>
  </w:style>
  <w:style w:type="character" w:styleId="1" w:customStyle="1">
    <w:name w:val="Заголовок 1 Знак"/>
    <w:basedOn w:val="DefaultParagraphFont"/>
    <w:uiPriority w:val="9"/>
    <w:qFormat/>
    <w:rsid w:val="00041988"/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32"/>
      <w:szCs w:val="28"/>
    </w:rPr>
  </w:style>
  <w:style w:type="character" w:styleId="2" w:customStyle="1">
    <w:name w:val="Заголовок 2 Знак"/>
    <w:basedOn w:val="DefaultParagraphFont"/>
    <w:uiPriority w:val="9"/>
    <w:qFormat/>
    <w:rsid w:val="00041988"/>
    <w:rPr>
      <w:rFonts w:ascii="Calibri" w:hAnsi="Calibri" w:eastAsia="ＭＳ ゴシック" w:cs="" w:asciiTheme="majorHAnsi" w:cstheme="majorBidi" w:eastAsiaTheme="majorEastAsia" w:hAnsiTheme="majorHAnsi"/>
      <w:b/>
      <w:bCs/>
      <w:color w:themeColor="text1" w:val="000000"/>
      <w:sz w:val="26"/>
      <w:szCs w:val="26"/>
    </w:rPr>
  </w:style>
  <w:style w:type="character" w:styleId="3" w:customStyle="1">
    <w:name w:val="Заголовок 3 Знак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294189"/>
    <w:rPr>
      <w:color w:themeColor="hyperlink" w:val="0000FF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13">
    <w:name w:val="Указатель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>
      <w:ind w:firstLine="720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1F4D78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tabs>
        <w:tab w:val="left" w:pos="720" w:leader="none"/>
      </w:tabs>
      <w:spacing w:before="0" w:after="0"/>
      <w:ind w:hanging="360" w:left="7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0"/>
      <w:ind w:left="1080"/>
      <w:contextualSpacing/>
    </w:pPr>
    <w:rPr/>
  </w:style>
  <w:style w:type="paragraph" w:styleId="MacroText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12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  <w:rPr/>
  </w:style>
  <w:style w:type="paragraph" w:styleId="TOC1">
    <w:name w:val="toc 1"/>
    <w:basedOn w:val="Normal"/>
    <w:next w:val="Normal"/>
    <w:autoRedefine/>
    <w:uiPriority w:val="39"/>
    <w:unhideWhenUsed/>
    <w:rsid w:val="00294189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294189"/>
    <w:pPr>
      <w:spacing w:before="0" w:after="100"/>
      <w:ind w:left="220"/>
    </w:pPr>
    <w:rPr/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1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6">
    <w:name w:val="Colorful List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Application>LibreOffice/25.2.3.2$Linux_X86_64 LibreOffice_project/520$Build-2</Application>
  <AppVersion>15.0000</AppVersion>
  <Pages>11</Pages>
  <Words>2065</Words>
  <Characters>15562</Characters>
  <CharactersWithSpaces>17481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2026-07-21T06:07:00Z</dcterms:created>
  <dc:creator>Проектная рабочая группа</dc:creator>
  <dc:description>Исходные документы не изменены</dc:description>
  <dc:language>ru-RU</dc:language>
  <cp:lastModifiedBy/>
  <dcterms:modified xsi:type="dcterms:W3CDTF">2026-10-02T03:11:17Z</dcterms:modified>
  <cp:revision>8</cp:revision>
  <dc:subject>Рабочий проект ТЗ на ОКР</dc:subject>
  <dc:title>Техническое задание на изделие ДММП ATCA 6U/6-slot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