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ind w:hanging="0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УТВЕРЖДАЮ</w:t>
              <w:br/>
              <w:t xml:space="preserve">Директор </w:t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Директор 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нетушканчик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Главный конструктор 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  <w:bookmarkStart w:id="0" w:name="_Hlk238025997"/>
            <w:bookmarkEnd w:id="0"/>
          </w:p>
        </w:tc>
      </w:tr>
    </w:tbl>
    <w:p>
      <w:pPr>
        <w:pStyle w:val="Normal"/>
        <w:spacing w:before="1440" w:after="160"/>
        <w:ind w:hanging="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>
      <w:pPr>
        <w:pStyle w:val="Normal"/>
        <w:spacing w:before="0" w:after="20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на выполнение части опытно-конструкторской работы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«Разработка сменной интерфейсной субплаты 8×RS-485/RS-422 и функционального программного Функционального модуля последовательных интерфейсов для универсального базового модуля AMC семейства устройств ДММП»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Шифр ОКР: Развитие-ТСА</w:t>
      </w:r>
    </w:p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лаборатории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нетушканчик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Начальник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пупупу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СОСТАВИЛ</w:t>
              <w:br/>
              <w:t>Ведущий инженер-системотехник</w:t>
            </w:r>
          </w:p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bookmarkStart w:id="1" w:name="_Hlk238025344"/>
            <w:bookmarkEnd w:id="1"/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</w:tr>
    </w:tbl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spacing w:before="0" w:after="7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2026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ЛИСТ СОГЛАСОВАНИЯ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тушканчик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ООО «актушкан»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ТВК река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Обозначения и сокращения</w:t>
      </w:r>
    </w:p>
    <w:p>
      <w:pPr>
        <w:pStyle w:val="Normal"/>
        <w:rPr>
          <w:lang w:val="ru-RU"/>
        </w:rPr>
      </w:pPr>
      <w:r>
        <w:rPr>
          <w:lang w:val="ru-RU"/>
        </w:rPr>
        <w:t>В настоящем документе применяют следующие обозначения и сокращения: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RS-485 (TIA/EIA-485-A)</w:t>
      </w:r>
      <w:r>
        <w:rPr>
          <w:lang w:val="ru-RU"/>
        </w:rPr>
        <w:t xml:space="preserve"> — дифференциальный многоточечный последовательный интерфейс связи;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RS-422 (TIA/EIA-422-B)</w:t>
      </w:r>
      <w:r>
        <w:rPr>
          <w:lang w:val="ru-RU"/>
        </w:rPr>
        <w:t xml:space="preserve"> — четырехпроводной дифференциальный последовательный интерфейс связи;</w:t>
      </w:r>
    </w:p>
    <w:p>
      <w:pPr>
        <w:pStyle w:val="Normal"/>
        <w:rPr/>
      </w:pPr>
      <w:r>
        <w:rPr>
          <w:b/>
        </w:rPr>
        <w:t>UART (Universal Asynchronous Receiver-Transmitter)</w:t>
      </w:r>
      <w:r>
        <w:rPr/>
        <w:t xml:space="preserve"> — </w:t>
      </w:r>
      <w:r>
        <w:rPr>
          <w:lang w:val="ru-RU"/>
        </w:rPr>
        <w:t>универсальный</w:t>
      </w:r>
      <w:r>
        <w:rPr/>
        <w:t xml:space="preserve"> </w:t>
      </w:r>
      <w:r>
        <w:rPr>
          <w:lang w:val="ru-RU"/>
        </w:rPr>
        <w:t>асинхронный</w:t>
      </w:r>
      <w:r>
        <w:rPr/>
        <w:t xml:space="preserve"> </w:t>
      </w:r>
      <w:r>
        <w:rPr>
          <w:lang w:val="ru-RU"/>
        </w:rPr>
        <w:t>приемопередатчик</w:t>
      </w:r>
      <w:r>
        <w:rPr/>
        <w:t>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HD-44</w:t>
      </w:r>
      <w:r>
        <w:rPr>
          <w:lang w:val="ru-RU"/>
        </w:rPr>
        <w:t xml:space="preserve"> — высокоплотный 44-контактный соединитель D-Sub с винтовой фиксацией;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Modbus RTU / Modbus TCP</w:t>
      </w:r>
      <w:r>
        <w:rPr>
          <w:lang w:val="ru-RU"/>
        </w:rPr>
        <w:t xml:space="preserve"> — стандартный промышленный протокол передачи данных в последовательных и IP-сетях;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МЭК 60870-5-101 / 104</w:t>
      </w:r>
      <w:r>
        <w:rPr>
          <w:lang w:val="ru-RU"/>
        </w:rPr>
        <w:t xml:space="preserve"> — базовые стандарты телемеханики в последовательных линиях и сетях TCP/IP;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Субплата 8×RS-485</w:t>
      </w:r>
      <w:r>
        <w:rPr>
          <w:lang w:val="ru-RU"/>
        </w:rPr>
        <w:t xml:space="preserve"> — сменная интерфейсная плата 8 гальванически изолированных портов RS-485/RS-422;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Базовая плата AMC</w:t>
      </w:r>
      <w:r>
        <w:rPr>
          <w:lang w:val="ru-RU"/>
        </w:rPr>
        <w:t xml:space="preserve"> — универсальная цифровая несущая плата мезонина AMC с вычислительным узлом на базе ПЛИС;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Функциональный модуль UART/Gateway (FPGA IP Core)</w:t>
      </w:r>
      <w:r>
        <w:rPr>
          <w:lang w:val="ru-RU"/>
        </w:rPr>
        <w:t xml:space="preserve"> — функциональный программный RTL-блок прошивки ПЛИС базовой 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B2B (Board-to-Board)</w:t>
      </w:r>
      <w:r>
        <w:rPr>
          <w:lang w:val="ru-RU"/>
        </w:rPr>
        <w:t xml:space="preserve"> — стандартизованный межплатный соединитель сопряжения базовой платы и субплаты;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Board ID</w:t>
      </w:r>
      <w:r>
        <w:rPr>
          <w:lang w:val="ru-RU"/>
        </w:rPr>
        <w:t xml:space="preserve"> — аппаратный идентификатор типа установленной субплаты в памяти I2C EEPROM;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Fail-safe Biasing</w:t>
      </w:r>
      <w:r>
        <w:rPr>
          <w:lang w:val="ru-RU"/>
        </w:rPr>
        <w:t xml:space="preserve"> — схема защитного резистивного смещения дифференциальных линий шины RS-485;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РМО</w:t>
      </w:r>
      <w:r>
        <w:rPr>
          <w:lang w:val="ru-RU"/>
        </w:rPr>
        <w:t xml:space="preserve"> — рабочее место оператора (программный комплекс визуализации и диспетчеризации);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ОКР</w:t>
      </w:r>
      <w:r>
        <w:rPr>
          <w:lang w:val="ru-RU"/>
        </w:rPr>
        <w:t xml:space="preserve"> — опытно-конструкторская работа;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РКД</w:t>
      </w:r>
      <w:r>
        <w:rPr>
          <w:lang w:val="ru-RU"/>
        </w:rPr>
        <w:t xml:space="preserve"> — рабочая конструкторская документация;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ПМИ</w:t>
      </w:r>
      <w:r>
        <w:rPr>
          <w:lang w:val="ru-RU"/>
        </w:rPr>
        <w:t xml:space="preserve"> — программа и методики испытаний.</w:t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Применимые нормативные и справочные документы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субплаты 8×RS-485 и Функционального модуля применяются следующие стандарты и рекомендации:</w:t>
      </w:r>
    </w:p>
    <w:p>
      <w:pPr>
        <w:pStyle w:val="Normal"/>
        <w:rPr/>
      </w:pPr>
      <w:r>
        <w:rPr>
          <w:b/>
        </w:rPr>
        <w:t>TIA/EIA-485-A</w:t>
      </w:r>
      <w:r>
        <w:rPr/>
        <w:t xml:space="preserve"> — Electrical Characteristics of Generators and Receivers for Use in Balanced Digital Multipoint Systems;</w:t>
      </w:r>
    </w:p>
    <w:p>
      <w:pPr>
        <w:pStyle w:val="Normal"/>
        <w:rPr/>
      </w:pPr>
      <w:r>
        <w:rPr>
          <w:b/>
        </w:rPr>
        <w:t>TIA/EIA-422-B</w:t>
      </w:r>
      <w:r>
        <w:rPr/>
        <w:t xml:space="preserve"> — Electrical Characteristics of Balanced Voltage Digital Interface Circuits;</w:t>
      </w:r>
    </w:p>
    <w:p>
      <w:pPr>
        <w:pStyle w:val="Normal"/>
        <w:rPr/>
      </w:pPr>
      <w:r>
        <w:rPr>
          <w:b/>
        </w:rPr>
        <w:t>Modbus Application Protocol Specification v1.1b3</w:t>
      </w:r>
      <w:r>
        <w:rPr/>
        <w:t xml:space="preserve"> — </w:t>
      </w:r>
      <w:r>
        <w:rPr>
          <w:lang w:val="ru-RU"/>
        </w:rPr>
        <w:t>Спецификация</w:t>
      </w:r>
      <w:r>
        <w:rPr/>
        <w:t xml:space="preserve"> </w:t>
      </w:r>
      <w:r>
        <w:rPr>
          <w:lang w:val="ru-RU"/>
        </w:rPr>
        <w:t>прикладного</w:t>
      </w:r>
      <w:r>
        <w:rPr/>
        <w:t xml:space="preserve"> </w:t>
      </w:r>
      <w:r>
        <w:rPr>
          <w:lang w:val="ru-RU"/>
        </w:rPr>
        <w:t>протокола</w:t>
      </w:r>
      <w:r>
        <w:rPr/>
        <w:t xml:space="preserve"> Modbus;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 МЭК 60870-5-101-2006</w:t>
      </w:r>
      <w:r>
        <w:rPr>
          <w:lang w:val="ru-RU"/>
        </w:rPr>
        <w:t xml:space="preserve"> — Устройства и системы телемеханики. Основные стандарты. Передача кадров в последовательных каналах;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 МЭК 60870-5-104-2004</w:t>
      </w:r>
      <w:r>
        <w:rPr>
          <w:lang w:val="ru-RU"/>
        </w:rPr>
        <w:t xml:space="preserve"> — Устройства и системы телемеханики. Доступ к сети для ГОСТ Р МЭК 60870-5-101 с использованием стандартных транспортных профилей;</w:t>
      </w:r>
    </w:p>
    <w:p>
      <w:pPr>
        <w:pStyle w:val="Normal"/>
        <w:rPr/>
      </w:pPr>
      <w:r>
        <w:rPr>
          <w:b/>
        </w:rPr>
        <w:t>PICMG AMC.0 R2.0</w:t>
      </w:r>
      <w:r>
        <w:rPr/>
        <w:t xml:space="preserve"> — Advanced Mezzanine Card Base Specification;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20.39.304-98</w:t>
      </w:r>
      <w:r>
        <w:rPr>
          <w:lang w:val="ru-RU"/>
        </w:rPr>
        <w:t xml:space="preserve"> — Комплексная система общих технических требований. Аппаратура, приборы, устройства и оборудование военного назначения. Требования стойкости к внешним воздействующим факторам;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В 25803-91</w:t>
      </w:r>
      <w:r>
        <w:rPr>
          <w:lang w:val="ru-RU"/>
        </w:rPr>
        <w:t xml:space="preserve"> — Радиопомехи индустриальные от оборудования военного назначения. Нормы и методы испытаний;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2.114-2016</w:t>
      </w:r>
      <w:r>
        <w:rPr>
          <w:lang w:val="ru-RU"/>
        </w:rPr>
        <w:t xml:space="preserve"> — Единая система конструкторской документации. Технические условия;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15.201-2003</w:t>
      </w:r>
      <w:r>
        <w:rPr>
          <w:lang w:val="ru-RU"/>
        </w:rPr>
        <w:t xml:space="preserve"> — Система разработки и постановки продукции на производство. Военная техника. Тактико-техническое (техническое) задание на выполнение опытно-конструкторских работ.</w:t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1. Наименование, шифр, основание, исполнители и сроки ОКР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Полное наименование составной части ОКР: «Разработка сменной интерфейсной субплаты 8×RS-485/RS-422 и функционального программного Функционального модуля последовательных интерфейсов для универсального базового модуля AMC семейства устройств ДММП».</w:t>
      </w:r>
    </w:p>
    <w:p>
      <w:pPr>
        <w:pStyle w:val="Normal"/>
        <w:rPr>
          <w:lang w:val="ru-RU"/>
        </w:rPr>
      </w:pPr>
      <w:r>
        <w:rPr>
          <w:lang w:val="ru-RU"/>
        </w:rPr>
        <w:t>Разрабатываемое изделие далее по тексту именуется интерфейсным модулем AMC RS-485 или субплатой 8×RS-485.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 Шифр</w:t>
      </w:r>
    </w:p>
    <w:p>
      <w:pPr>
        <w:pStyle w:val="Normal"/>
        <w:rPr>
          <w:lang w:val="ru-RU"/>
        </w:rPr>
      </w:pPr>
      <w:r>
        <w:rPr>
          <w:lang w:val="ru-RU"/>
        </w:rPr>
        <w:t>Шифр ОКР — «Развитие-ТСА».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1.3. Основание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Основание выполнения ОКР — приказ об открытии инициативной опытно-конструкторской работы «Развитие-ТСА» № _____ от __________.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 Исполнитель</w:t>
      </w:r>
    </w:p>
    <w:p>
      <w:pPr>
        <w:pStyle w:val="Normal"/>
        <w:rPr>
          <w:lang w:val="ru-RU"/>
        </w:rPr>
      </w:pPr>
      <w:r>
        <w:rPr>
          <w:lang w:val="ru-RU"/>
        </w:rPr>
        <w:t>Исполнителем ОКР является ООО тушканчик.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 Срок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Срок выполнения ОКР определяется согласно утверждённому плану-графику разработки рабочей конструкторской и программной документации, изготовления опытных образцов и проведения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2. Цель выполнения, наименование, назначение и область применения изделия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Цель ОКР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создание сменной интерфейсной субплаты на 8 индивидуально изолированных портов RS-485/RS-422 с разъемом HD-44 и программного Функционального модуля ПЛИС, обеспечивающих подключение устройств телемеханики и АСУ ТП, аппаратное безынерционное управление направлением передачи, прозрачную трансляцию потоков Serial-over-Ethernet (UDP/IP), а также функции промышленных шлюзов Modbus RTU↔Modbus TCP и МЭК 60870-5-101↔МЭК 60870-5-104 в составе платформы ДММП.</w:t>
      </w:r>
    </w:p>
    <w:p>
      <w:pPr>
        <w:pStyle w:val="Normal"/>
        <w:rPr>
          <w:lang w:val="ru-RU"/>
        </w:rPr>
      </w:pPr>
      <w:r>
        <w:rPr>
          <w:lang w:val="ru-RU"/>
        </w:rPr>
        <w:t>Состав разработки по данному ТЗ включает две неразрывные части: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Аппаратная часть:</w:t>
      </w:r>
      <w:r>
        <w:rPr>
          <w:lang w:val="ru-RU"/>
        </w:rPr>
        <w:t xml:space="preserve"> физическая печатная плата сменной мезонинной платы, устанавливаемая на базовый модуль </w:t>
      </w:r>
      <w:r>
        <w:rPr/>
        <w:t>AMC</w:t>
      </w:r>
      <w:r>
        <w:rPr>
          <w:lang w:val="ru-RU"/>
        </w:rPr>
        <w:t xml:space="preserve"> через разъем </w:t>
      </w:r>
      <w:r>
        <w:rPr/>
        <w:t>B</w:t>
      </w:r>
      <w:r>
        <w:rPr>
          <w:lang w:val="ru-RU"/>
        </w:rPr>
        <w:t>2</w:t>
      </w:r>
      <w:r>
        <w:rPr/>
        <w:t>B</w:t>
      </w:r>
      <w:r>
        <w:rPr>
          <w:lang w:val="ru-RU"/>
        </w:rPr>
        <w:t xml:space="preserve">, включающая входные интерфейсы, схемы защиты, трансиверы и микросхему </w:t>
      </w:r>
      <w:r>
        <w:rPr/>
        <w:t>EEPROM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Логическая часть (ПО Функционального модуля ПЛИС)</w:t>
      </w:r>
      <w:r>
        <w:rPr>
          <w:lang w:val="ru-RU"/>
        </w:rPr>
        <w:t xml:space="preserve">: специализированное функциональное Функциональный модуль обработки сигналов, </w:t>
      </w:r>
      <w:r>
        <w:rPr>
          <w:b/>
          <w:bCs/>
          <w:lang w:val="ru-RU"/>
        </w:rPr>
        <w:t xml:space="preserve">исполняемое в ПЛИС универсального базового модуля </w:t>
      </w:r>
      <w:r>
        <w:rPr>
          <w:b/>
          <w:bCs/>
        </w:rPr>
        <w:t>AMC</w:t>
      </w:r>
      <w:r>
        <w:rPr>
          <w:lang w:val="ru-RU"/>
        </w:rPr>
        <w:t>, подключаемое к внутренней шине ПЛИС при автоматическом обнаружении данной мезонинной платы.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Назначение</w:t>
      </w:r>
    </w:p>
    <w:p>
      <w:pPr>
        <w:pStyle w:val="Normal"/>
        <w:rPr>
          <w:lang w:val="ru-RU"/>
        </w:rPr>
      </w:pPr>
      <w:r>
        <w:rPr>
          <w:lang w:val="ru-RU"/>
        </w:rPr>
        <w:t>Интерфейсный модуль AMC RS-485 предназначен для установки в посадочные места плат-носителей Carrier и обеспечивает: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подключение восьми независимых гальванически изолированных портов RS-485 / RS-422;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работу в 2-проводном полудуплексном режиме RS-485 и в 4-проводном полнодуплексном режиме RS-485 / RS-422;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индивидуальную гальваническую развязку каждого порта (не менее 1500 В RMS) с индивидуальными изолированными DC/DC преобразователями питания;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программно подключаемые терминальные резисторы 120 Ом и цепи защитного смещения Fail-safe Biasing;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поддержку скоростей обмена от 300 бит/с до 921 600 бит/с (и до 3 Мбит/с опционально);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аппаратный автомат управления направлением передачи RS-485 в ПЛИС с наносекундной точностью;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прозрачную инкапсуляцию последовательных данных в пакеты UDP/IP (Профиль А: Serial-over-Ethernet);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аппаратный шлюз протокола Modbus RTU в Modbus TCP (Профиль Б);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протокольный шлюз ГОСТ Р МЭК 60870-5-101 в ГОСТ Р МЭК 60870-5-104 (Профиль В);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непрерывную диагностику целостности линий, счетчиков байтов/кадров, ошибок четности/фрейминга и тестовые петли Loopback.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Область применения</w:t>
      </w:r>
    </w:p>
    <w:p>
      <w:pPr>
        <w:pStyle w:val="Normal"/>
        <w:rPr>
          <w:lang w:val="ru-RU"/>
        </w:rPr>
      </w:pPr>
      <w:r>
        <w:rPr>
          <w:lang w:val="ru-RU"/>
        </w:rPr>
        <w:t>Модуль AMC RS-485 применяется в аппаратуре ДММП для сопряжения со шкафами телемеханики, микропроцессорными терминалами РЗА, контроллерами присоединений, счетчиками электроэнергии, датчиками и системами АСУ ТП подстанций и промышленных объектов.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3. Технические требования к изделию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Архитектурное построение и модульное разделение</w:t>
      </w:r>
    </w:p>
    <w:p>
      <w:pPr>
        <w:pStyle w:val="Normal"/>
        <w:rPr>
          <w:lang w:val="ru-RU"/>
        </w:rPr>
      </w:pPr>
      <w:r>
        <w:rPr>
          <w:lang w:val="ru-RU"/>
        </w:rPr>
        <w:t>3.1.1. Модуль реализуется на базе сменной субплаты 8×RS-485, сопрягаемой с универсальной базовой платой AMC через межплатный соединитель B2B.</w:t>
      </w:r>
    </w:p>
    <w:p>
      <w:pPr>
        <w:pStyle w:val="Normal"/>
        <w:rPr>
          <w:lang w:val="ru-RU"/>
        </w:rPr>
      </w:pPr>
      <w:r>
        <w:rPr>
          <w:lang w:val="ru-RU"/>
        </w:rPr>
        <w:t>3.1.2. Субплата 8×RS-485 содержит: один экранированный высокоплотный разъем HD-44 на лицевой панели, 8 независимых каналов трансиверов RS-485/RS-422 с цифровыми изоляторами и индивидуальными изолированными DC/DC преобразователями, схемы защиты TVS, микросхему Board ID EEPROM и светодиодные индикаторы активности RX/TX.</w:t>
      </w:r>
    </w:p>
    <w:p>
      <w:pPr>
        <w:pStyle w:val="Normal"/>
        <w:rPr>
          <w:lang w:val="ru-RU"/>
        </w:rPr>
      </w:pPr>
      <w:r>
        <w:rPr>
          <w:lang w:val="ru-RU"/>
        </w:rPr>
        <w:t>3.1.3. Базовая плата AMC обеспечивает: электропитание (+12 В, +3,3 В), контроллер MMC, тактирование и загрузку из Flash-памяти специализированного битового потока Функционального модуля UART/Gateway (автоматически выбираемого по коду Board ID).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Разъем лицевой панели, кабельный переходник и конструкция</w:t>
      </w:r>
    </w:p>
    <w:p>
      <w:pPr>
        <w:pStyle w:val="Normal"/>
        <w:rPr>
          <w:lang w:val="ru-RU"/>
        </w:rPr>
      </w:pPr>
      <w:r>
        <w:rPr>
          <w:lang w:val="ru-RU"/>
        </w:rPr>
        <w:t>3.2.1. На лицевой панели субплаты устанавливается 1 экранированный высокоплотный 44-контактный разъем HD-44 (вилка D-Sub 44-pin) с резьбовыми стойками для жесткой винтовой фиксации кабельного разъема.</w:t>
      </w:r>
    </w:p>
    <w:p>
      <w:pPr>
        <w:pStyle w:val="Normal"/>
        <w:rPr>
          <w:lang w:val="ru-RU"/>
        </w:rPr>
      </w:pPr>
      <w:r>
        <w:rPr>
          <w:lang w:val="ru-RU"/>
        </w:rPr>
        <w:t>3.2.2. Контактная группа разъема HD-44 обеспечивает для каждого из 8 портов подключение сигналов: A/B, Y/Z и индивидуального изолированного общего провода (GND_ISO). Земли разных портов не соединяются между собой на плате и в разъеме.</w:t>
      </w:r>
    </w:p>
    <w:p>
      <w:pPr>
        <w:pStyle w:val="Normal"/>
        <w:rPr>
          <w:lang w:val="ru-RU"/>
        </w:rPr>
      </w:pPr>
      <w:r>
        <w:rPr>
          <w:lang w:val="ru-RU"/>
        </w:rPr>
        <w:t>3.2.3. В комплект поставки и РКД модуля входит штатный экранированный кабель-переходник (ответная розетка HD-44 с металлическим экранированным кожухом → 8 кабельных отводов с разъемами DB-9 или клеммными колодками с четкой поканальной маркировкой).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Электрические параметры, режимы работы и гальваноразвязка</w:t>
      </w:r>
    </w:p>
    <w:p>
      <w:pPr>
        <w:pStyle w:val="Normal"/>
        <w:rPr>
          <w:lang w:val="ru-RU"/>
        </w:rPr>
      </w:pPr>
      <w:r>
        <w:rPr>
          <w:lang w:val="ru-RU"/>
        </w:rPr>
        <w:t>3.3.1. Каждый порт аппаратно поддерживает независимую настройку одного из трех электрических режимов: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RS-485 2-проводной (полудуплекс по дифференциальной паре DATA+/DATA−);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RS-485 4-проводной (полный дуплекс по раздельным парам A/B, Y/Z);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RS-422 4-проводной (полный дуплекс по стандарту TIA/EIA-422-B).</w:t>
      </w:r>
    </w:p>
    <w:p>
      <w:pPr>
        <w:pStyle w:val="Normal"/>
        <w:rPr>
          <w:lang w:val="ru-RU"/>
        </w:rPr>
      </w:pPr>
      <w:r>
        <w:rPr>
          <w:lang w:val="ru-RU"/>
        </w:rPr>
        <w:t>3.3.2. Каждый из 8 портов имеет индивидуальную гальваническую развязку сигнальных цепей и цепей питания с испытательным напряжением изоляции не менее 1500 В (RMS, 50 Гц, 1 мин).</w:t>
      </w:r>
    </w:p>
    <w:p>
      <w:pPr>
        <w:pStyle w:val="Normal"/>
        <w:rPr>
          <w:lang w:val="ru-RU"/>
        </w:rPr>
      </w:pPr>
      <w:r>
        <w:rPr>
          <w:lang w:val="ru-RU"/>
        </w:rPr>
        <w:t>3.3.3. Каждый порт оснащен программно подключаемым терминальным резистором 120 Ом и цепями защитного смещения Fail-safe Biasing для поддержания стабильного логического состояния при обрыве или отключении передатчиков на шине.</w:t>
      </w:r>
    </w:p>
    <w:p>
      <w:pPr>
        <w:pStyle w:val="Normal"/>
        <w:rPr>
          <w:lang w:val="ru-RU"/>
        </w:rPr>
      </w:pPr>
      <w:r>
        <w:rPr>
          <w:lang w:val="ru-RU"/>
        </w:rPr>
        <w:t>3.3.4. Каждый порт поддерживает независимую настройку скоростей обмена: 300, 600, 1200, 2400, 4800, 9600, 19200, 38400, 57600, 115200, 230400, 460800 и 921600 бит/с (с погрешностью установки частоты не более ±1,5%).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Аппаратный автомат управления направлением RS-485</w:t>
      </w:r>
    </w:p>
    <w:p>
      <w:pPr>
        <w:pStyle w:val="Normal"/>
        <w:rPr>
          <w:lang w:val="ru-RU"/>
        </w:rPr>
      </w:pPr>
      <w:r>
        <w:rPr>
          <w:lang w:val="ru-RU"/>
        </w:rPr>
        <w:t>3.4.1. В 2-проводном режиме RS-485 управление разрешением передатчика (сигнал TX_EN) выполняется аппаратно логикой Функционального модуля ПЛИС по факту передачи данных.</w:t>
      </w:r>
    </w:p>
    <w:p>
      <w:pPr>
        <w:pStyle w:val="Normal"/>
        <w:rPr>
          <w:lang w:val="ru-RU"/>
        </w:rPr>
      </w:pPr>
      <w:r>
        <w:rPr>
          <w:lang w:val="ru-RU"/>
        </w:rPr>
        <w:t>3.4.2. Передатчик переводится в активное состояние за время не более 50 нс до начала передачи стартового бита и возвращается в высокоимпедансное третье состояние после завершения передачи стопового бита с настраиваемым защитным временем удержания (Hold Time).</w:t>
      </w:r>
    </w:p>
    <w:p>
      <w:pPr>
        <w:pStyle w:val="Normal"/>
        <w:rPr>
          <w:lang w:val="ru-RU"/>
        </w:rPr>
      </w:pPr>
      <w:r>
        <w:rPr>
          <w:lang w:val="ru-RU"/>
        </w:rPr>
        <w:t>3.4.3. При сбросе, аварии или переводе модуля в резервный режим все передатчики RS-485 аппаратно блокируются в высокоимпедансном состоянии.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Сервисные профили обработки данных в Функциональном модуле ПЛИС</w:t>
      </w:r>
    </w:p>
    <w:p>
      <w:pPr>
        <w:pStyle w:val="Normal"/>
        <w:rPr>
          <w:lang w:val="ru-RU"/>
        </w:rPr>
      </w:pPr>
      <w:r>
        <w:rPr>
          <w:lang w:val="ru-RU"/>
        </w:rPr>
        <w:t>3.5.1. Функциональный модуль ПЛИС должно одновременно и независимо для каждого порта поддерживать 3 сервисных профиля: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А (Прозрачный Serial-over-Ethernet / UDP) — передача неструктурированного потока байтов в пакетах UDP/IP с настраиваемыми условиями упаковки (по тайм-ауту межкадрового интервала, по заполнению буфера или по спецсимволу);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Б (Шлюз Modbus RTU ↔ Modbus TCP) — выделение кадров Modbus RTU, проверка контрольной суммы CRC16, преобразование в транзакции Modbus TCP с контролем Transaction ID и маршрутизацией запросов/ответов;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В (Шлюз ГОСТ Р МЭК 60870-5-101 ↔ ГОСТ Р МЭК 60870-5-104) — разбор кадров FT1.2 телемеханики 101, извлечение блоков ASDU, передача в сессиях TCP/IP протокола 104 с сохранением меток времени CP56Time2a.</w:t>
      </w:r>
    </w:p>
    <w:p>
      <w:pPr>
        <w:pStyle w:val="Normal"/>
        <w:rPr>
          <w:lang w:val="ru-RU"/>
        </w:rPr>
      </w:pPr>
      <w:r>
        <w:rPr>
          <w:lang w:val="ru-RU"/>
        </w:rPr>
        <w:t>3.5.2. Пакеты последовательных данных передаются через канал Fabric 10GbE базовой платы с высоким приоритетом QoS.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Аварийная сигнализация, диагностика и контроль качества</w:t>
      </w:r>
    </w:p>
    <w:p>
      <w:pPr>
        <w:pStyle w:val="Normal"/>
        <w:rPr>
          <w:lang w:val="ru-RU"/>
        </w:rPr>
      </w:pPr>
      <w:r>
        <w:rPr>
          <w:lang w:val="ru-RU"/>
        </w:rPr>
        <w:t>3.6.1. Непрерывно контролируются: активность RX/TX, ошибки четности (Parity Error), ошибки кадрирования (Framing Error), переполнение буферов FIFO (Overrun Error), обнаружение состояния BREAK.</w:t>
      </w:r>
    </w:p>
    <w:p>
      <w:pPr>
        <w:pStyle w:val="Normal"/>
        <w:rPr>
          <w:lang w:val="ru-RU"/>
        </w:rPr>
      </w:pPr>
      <w:r>
        <w:rPr>
          <w:lang w:val="ru-RU"/>
        </w:rPr>
        <w:t>3.6.2. Для каждого порта поддерживаются режимы локальной петли (Local Loopback) и пакетной петли со стороны сети Ethernet.</w:t>
      </w:r>
    </w:p>
    <w:p>
      <w:pPr>
        <w:pStyle w:val="Normal"/>
        <w:rPr>
          <w:lang w:val="ru-RU"/>
        </w:rPr>
      </w:pPr>
      <w:r>
        <w:rPr>
          <w:lang w:val="ru-RU"/>
        </w:rPr>
        <w:t>3.6.3. В состав Функционального модуля входит генератор и анализатор тестовых последовательностей PRBS для проверки качества линий на максимальных скоростях.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3.7. Механическая конструкция, сэндвич-сопряжение и охлаждение</w:t>
      </w:r>
    </w:p>
    <w:p>
      <w:pPr>
        <w:pStyle w:val="Normal"/>
        <w:rPr>
          <w:lang w:val="ru-RU"/>
        </w:rPr>
      </w:pPr>
      <w:r>
        <w:rPr>
          <w:lang w:val="ru-RU"/>
        </w:rPr>
        <w:t>3.7.1. Субплата 8×RS-485 устанавливается на базовую плату AMC, образуя единый модуль формата Single Full-size AMC.0 (73,5 × 180,6 × 28,95 мм). Межплатная фиксация выполняется на 4–6 металлических резьбовых стойках М2,5.</w:t>
      </w:r>
    </w:p>
    <w:p>
      <w:pPr>
        <w:pStyle w:val="Normal"/>
        <w:rPr>
          <w:lang w:val="ru-RU"/>
        </w:rPr>
      </w:pPr>
      <w:r>
        <w:rPr>
          <w:lang w:val="ru-RU"/>
        </w:rPr>
        <w:t>3.7.2. Потребляемая мощность субплаты при 8 активных изолированных портах не превышает 10 Вт (суммарная мощность сэндвича с базовой платой — не более 30 Вт).</w:t>
      </w:r>
    </w:p>
    <w:p>
      <w:pPr>
        <w:pStyle w:val="Normal"/>
        <w:rPr>
          <w:lang w:val="ru-RU"/>
        </w:rPr>
      </w:pPr>
      <w:r>
        <w:rPr>
          <w:lang w:val="ru-RU"/>
        </w:rPr>
        <w:t>3.7.3. По стойкости к механическим и климатическим воздействиям изделие соответствует ГОСТ РВ 20.39.304-98 (группы 1.1, 1.3, 1.4.1 «О», рабочая температура от минус 10 до плюс 50 °С, предельная от минус 40 до плюс 65 °С, синусоидальная вибрация 5g, удары 15g).</w:t>
      </w:r>
    </w:p>
    <w:p>
      <w:pPr>
        <w:pStyle w:val="Normal"/>
        <w:rPr>
          <w:lang w:val="ru-RU"/>
        </w:rPr>
      </w:pPr>
      <w:r>
        <w:rPr>
          <w:lang w:val="ru-RU"/>
        </w:rPr>
        <w:t>3.7.4. По уровню радиопомех изделие удовлетворяет нормам группы 1.1.1 ГОСТ В 25803-91. MTBF составляет не менее 15 000 часов, назначенный срок службы — не менее 20 лет.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4. Технико-экономические 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5. Требования к видам обеспечения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Нормативно-техническое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Разработка субплаты и Функционального модуля должна выполняться в соответствии с TIA/EIA-485-A, TIA/EIA-422-B, спецификациями Modbus, ГОСТ Р МЭК 60870-5-101/104, PICMG AMC.0, ГОСТ РВ 20.39.304-98 и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Метрологическое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документации должны быть определены методики измерений уровней дифференциальных сигналов, точности скорости UART, временных задержек переключения RS-485 и параметров гальваноразвязки.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Диагностическое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Система встроенной диагностики должна непрерывно контролировать активность портов, счетчики байтов и ошибок фрейминга, транзакции шлюзов Modbus/МЭК и формировать аварийные отчеты для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Программное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изделия поставляются: битовый поток прошивки Функционального модуля для Flash-памяти базовой платы AMC, драйверы Linux и структуры MIB для РМО.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6. Требования к сырью, материалам и комплектующим изделиям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схемотехники субплаты приоритет должен отдаваться комплектующим и материалам отечественного производства с приемкой ОТК.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7. Требования к консервации, упаковке и маркировке</w:t>
      </w:r>
    </w:p>
    <w:p>
      <w:pPr>
        <w:pStyle w:val="Normal"/>
        <w:rPr>
          <w:lang w:val="ru-RU"/>
        </w:rPr>
      </w:pPr>
      <w:r>
        <w:rPr>
          <w:lang w:val="ru-RU"/>
        </w:rPr>
        <w:t>Каждая субплата должна иметь маркировку с указанием децимального номера, серийного номера, ревизии и обозначений разъема HD-44. Индивидуальная тара должна обеспечивать защиту от ESD. Срок хранения в заводской таре — не менее 1 года по ГОСТ 15150.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8. Специальные требования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Интеграция с программным комплексом РМО</w:t>
      </w:r>
    </w:p>
    <w:p>
      <w:pPr>
        <w:pStyle w:val="Normal"/>
        <w:rPr>
          <w:lang w:val="ru-RU"/>
        </w:rPr>
      </w:pPr>
      <w:r>
        <w:rPr>
          <w:lang w:val="ru-RU"/>
        </w:rPr>
        <w:t>8.1.1. Модуль AMC RS-485 передает в РМО (C++/Qt) данные телеметрии: мнемосхему 8 портов RS-485/RS-422, активность приёма/передачи, счетчики ошибок UART, состояние шлюзов Modbus/МЭК и статус терминаторов 120 Ом.</w:t>
      </w:r>
    </w:p>
    <w:p>
      <w:pPr>
        <w:pStyle w:val="Normal"/>
        <w:rPr>
          <w:lang w:val="ru-RU"/>
        </w:rPr>
      </w:pPr>
      <w:r>
        <w:rPr>
          <w:lang w:val="ru-RU"/>
        </w:rPr>
        <w:t>8.1.2. Модуль поддерживает дистанционные команды РМО: выбор режима (RS-485 2W / RS-422 4W), настройка скорости и формата кадра, выбор профиля (А, Б, В), включение терминаторов 120 Ом и запуск тестовых петель.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23e8"/>
    <w:pPr>
      <w:widowControl/>
      <w:bidi w:val="0"/>
      <w:spacing w:lineRule="auto" w:line="264" w:before="0" w:after="0"/>
      <w:ind w:firstLine="720"/>
      <w:jc w:val="both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3e8"/>
    <w:pPr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723e8"/>
    <w:pPr>
      <w:keepLines/>
      <w:spacing w:before="24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b723e8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b723e8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94189"/>
    <w:rPr>
      <w:color w:themeColor="hyperlink" w:val="0000FF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2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1F4D78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9418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94189"/>
    <w:pPr>
      <w:spacing w:before="0" w:after="100"/>
      <w:ind w:left="220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Application>LibreOffice/25.2.3.2$Linux_X86_64 LibreOffice_project/520$Build-2</Application>
  <AppVersion>15.0000</AppVersion>
  <Pages>11</Pages>
  <Words>1820</Words>
  <Characters>14070</Characters>
  <CharactersWithSpaces>15771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2026-07-21T06:07:00Z</dcterms:created>
  <dc:creator>Проектная рабочая группа</dc:creator>
  <dc:description>Исходные документы не изменены</dc:description>
  <dc:language>ru-RU</dc:language>
  <cp:lastModifiedBy/>
  <dcterms:modified xsi:type="dcterms:W3CDTF">2026-10-02T03:05:48Z</dcterms:modified>
  <cp:revision>11</cp:revision>
  <dc:subject>Рабочий проект ТЗ на ОКР</dc:subject>
  <dc:title>Техническое задание на изделие ДММП ATCA 6U/6-slot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