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УТВЕРЖДАЮ</w:t>
              <w:br/>
              <w:t>Директор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 фио</w:t>
              <w:br/>
              <w:t>«___» __________ 2026 г.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Директор ООО актушка</w:t>
              <w:br/>
              <w:t>______________фио</w:t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Главный конструктор ООО тушкан</w:t>
              <w:br/>
              <w:t>________________ фио</w:t>
              <w:br/>
              <w:t>«___» __________ 2026 г.</w:t>
            </w:r>
            <w:bookmarkStart w:id="0" w:name="_Hlk238025997"/>
            <w:bookmarkEnd w:id="0"/>
          </w:p>
        </w:tc>
      </w:tr>
    </w:tbl>
    <w:p>
      <w:pPr>
        <w:pStyle w:val="Normal"/>
        <w:spacing w:before="1440" w:after="160"/>
        <w:ind w:hanging="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>
      <w:pPr>
        <w:pStyle w:val="Normal"/>
        <w:spacing w:before="0" w:after="20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на выполнение части опытно-конструкторской работы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«Разработка сменной интерфейсной субплаты 4×STM-1 (с поддержкой STM-4) и функционального программного Функционального модуля SDH для </w:t>
      </w:r>
      <w:bookmarkStart w:id="1" w:name="_Hlk238137174"/>
      <w:r>
        <w:rPr>
          <w:rFonts w:cs="Times New Roman"/>
          <w:b/>
          <w:sz w:val="28"/>
          <w:szCs w:val="28"/>
          <w:lang w:val="ru-RU"/>
        </w:rPr>
        <w:t xml:space="preserve">универсального базового модуля </w:t>
      </w:r>
      <w:bookmarkEnd w:id="1"/>
      <w:r>
        <w:rPr>
          <w:rFonts w:cs="Times New Roman"/>
          <w:b/>
          <w:sz w:val="28"/>
          <w:szCs w:val="28"/>
          <w:lang w:val="ru-RU"/>
        </w:rPr>
        <w:t>AMC семейства устройств ДММП»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Шифр ОКР: Развитие-ТСА</w:t>
      </w:r>
    </w:p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trHeight w:val="1500" w:hRule="atLeast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лаборатории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нетушканчик</w:t>
              <w:br/>
              <w:t>________________  фио</w:t>
              <w:br/>
              <w:t>«___» __________ 2026 г.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пупупу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 фио</w:t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СОСТАВИЛ</w:t>
              <w:br/>
              <w:t>Ведущий инженер-системотехник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bookmarkStart w:id="2" w:name="_Hlk238025344"/>
            <w:bookmarkEnd w:id="2"/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фио</w:t>
              <w:br/>
              <w:t>«___» __________ 2026 г.</w:t>
            </w:r>
          </w:p>
        </w:tc>
      </w:tr>
    </w:tbl>
    <w:p>
      <w:pPr>
        <w:pStyle w:val="Normal"/>
        <w:spacing w:before="240" w:after="7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2026</w:t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ЛИСТ СОГЛАСОВАНИЯ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тушканчик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ООО «актушкан»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ООО ТВК </w:t>
      </w:r>
      <w:r>
        <w:rPr>
          <w:sz w:val="28"/>
          <w:szCs w:val="28"/>
          <w:lang w:val="ru-RU"/>
        </w:rPr>
        <w:t>река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Обозначения и сокращения</w:t>
      </w:r>
    </w:p>
    <w:p>
      <w:pPr>
        <w:pStyle w:val="Normal"/>
        <w:rPr>
          <w:lang w:val="ru-RU"/>
        </w:rPr>
      </w:pPr>
      <w:r>
        <w:rPr>
          <w:lang w:val="ru-RU"/>
        </w:rPr>
        <w:t>В настоящем документе применяют следующие обозначения и сокращения: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SDH (Synchronous Digital Hierarchy)</w:t>
      </w:r>
      <w:r>
        <w:rPr>
          <w:lang w:val="ru-RU"/>
        </w:rPr>
        <w:t xml:space="preserve"> — синхронная цифровая иерархия (ITU-T G.707);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STM-1 (Synchronous Transport Module level 1)</w:t>
      </w:r>
      <w:r>
        <w:rPr>
          <w:lang w:val="ru-RU"/>
        </w:rPr>
        <w:t xml:space="preserve"> — первичный синхронный транспортный модуль со скоростью 155,52 Мбит/с;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STM-4</w:t>
      </w:r>
      <w:r>
        <w:rPr>
          <w:lang w:val="ru-RU"/>
        </w:rPr>
        <w:t xml:space="preserve"> — синхронный транспортный модуль уровня 4 со скоростью 622,08 Мбит/с;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VC (Virtual Container)</w:t>
      </w:r>
      <w:r>
        <w:rPr>
          <w:lang w:val="ru-RU"/>
        </w:rPr>
        <w:t xml:space="preserve"> — виртуальный контейнер SDH (VC-4, VC-3, VC-12);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SFP (Small Form-factor Pluggable)</w:t>
      </w:r>
      <w:r>
        <w:rPr>
          <w:lang w:val="ru-RU"/>
        </w:rPr>
        <w:t xml:space="preserve"> — стандартизованный сменный оптический/электрический трансивер;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STM-1e</w:t>
      </w:r>
      <w:r>
        <w:rPr>
          <w:lang w:val="ru-RU"/>
        </w:rPr>
        <w:t xml:space="preserve"> — электрический интерфейс STM-1 155,52 Мбит/с (коаксиальный 75 Ом, ITU-T G.703);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CEP (Circuit Emulation over Packet)</w:t>
      </w:r>
      <w:r>
        <w:rPr>
          <w:lang w:val="ru-RU"/>
        </w:rPr>
        <w:t xml:space="preserve"> — режим эмуляции каналов SONET/SDH через пакетные сети (RFC 4842);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SAToP</w:t>
      </w:r>
      <w:r>
        <w:rPr>
          <w:lang w:val="ru-RU"/>
        </w:rPr>
        <w:t xml:space="preserve"> — передача неструктурированного потока TDM/SDH по пакетной сети Ethernet (RFC 4553);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CESoPSN</w:t>
      </w:r>
      <w:r>
        <w:rPr>
          <w:lang w:val="ru-RU"/>
        </w:rPr>
        <w:t xml:space="preserve"> — режим эмуляции структурированных каналов Nx64 кбит/с (RFC 5086);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Субплата 4×STM-1</w:t>
      </w:r>
      <w:r>
        <w:rPr>
          <w:lang w:val="ru-RU"/>
        </w:rPr>
        <w:t xml:space="preserve"> — сменная плата физических интерфейсов 4×SFP, устанавливаемая на базовую плату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Базовая плата AMC</w:t>
      </w:r>
      <w:r>
        <w:rPr>
          <w:lang w:val="ru-RU"/>
        </w:rPr>
        <w:t xml:space="preserve"> — универсальная цифровая несущая плата мезонина AMC с вычислительным узлом на базе ПЛИС;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Функциональный модуль SDH (FPGA IP Core)</w:t>
      </w:r>
      <w:r>
        <w:rPr>
          <w:lang w:val="ru-RU"/>
        </w:rPr>
        <w:t xml:space="preserve"> — функциональный программный RTL-блок прошивки ПЛИС базовой платы для обработки потоков SDH;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B2B (Board-to-Board)</w:t>
      </w:r>
      <w:r>
        <w:rPr>
          <w:lang w:val="ru-RU"/>
        </w:rPr>
        <w:t xml:space="preserve"> — стандартизованный межплатный соединитель сопряжения базовой платы и субплаты;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Board ID</w:t>
      </w:r>
      <w:r>
        <w:rPr>
          <w:lang w:val="ru-RU"/>
        </w:rPr>
        <w:t xml:space="preserve"> — аппаратный идентификатор типа установленной субплаты в памяти I2C EEPROM;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CDR (Clock and Data Recovery)</w:t>
      </w:r>
      <w:r>
        <w:rPr>
          <w:lang w:val="ru-RU"/>
        </w:rPr>
        <w:t xml:space="preserve"> — узел восстановления тактовой частоты и данных из входного потока;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SSM (Synchronization Status Message)</w:t>
      </w:r>
      <w:r>
        <w:rPr>
          <w:lang w:val="ru-RU"/>
        </w:rPr>
        <w:t xml:space="preserve"> — байты статуса качества тактовой сетевой синхронизации (байт S1);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BIP (Bit Interleaved Parity)</w:t>
      </w:r>
      <w:r>
        <w:rPr>
          <w:lang w:val="ru-RU"/>
        </w:rPr>
        <w:t xml:space="preserve"> — побитовый контроль четности в секциях и трактах SDH (байты B1, B2, B3);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DDM/DOM (Digital Diagnostic Monitoring)</w:t>
      </w:r>
      <w:r>
        <w:rPr>
          <w:lang w:val="ru-RU"/>
        </w:rPr>
        <w:t xml:space="preserve"> — цифровой телеметрический контроль параметров оптического трансивера;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РМО</w:t>
      </w:r>
      <w:r>
        <w:rPr>
          <w:lang w:val="ru-RU"/>
        </w:rPr>
        <w:t xml:space="preserve"> — рабочее место оператора (программный комплекс визуализации и диспетчеризации);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ОКР</w:t>
      </w:r>
      <w:r>
        <w:rPr>
          <w:lang w:val="ru-RU"/>
        </w:rPr>
        <w:t xml:space="preserve"> — опытно-конструкторская работа;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РКД</w:t>
      </w:r>
      <w:r>
        <w:rPr>
          <w:lang w:val="ru-RU"/>
        </w:rPr>
        <w:t xml:space="preserve"> — рабочая конструкторская документация;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ПМИ</w:t>
      </w:r>
      <w:r>
        <w:rPr>
          <w:lang w:val="ru-RU"/>
        </w:rPr>
        <w:t xml:space="preserve"> — программа и методики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Применимые нормативные и справочные документы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субплаты 4×STM-1 и Функционального модуля SDH применяются следующие стандарты и рекомендации: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ITU-T G.707 / Y.1322</w:t>
      </w:r>
      <w:r>
        <w:rPr>
          <w:lang w:val="ru-RU"/>
        </w:rPr>
        <w:t xml:space="preserve"> — Network node interface for the synchronous digital hierarchy (структура циклов SDH, форматы STM-1/STM-4, контейнеры VC-4, VC-3, VC-12);</w:t>
      </w:r>
    </w:p>
    <w:p>
      <w:pPr>
        <w:pStyle w:val="Normal"/>
        <w:rPr/>
      </w:pPr>
      <w:r>
        <w:rPr>
          <w:b/>
        </w:rPr>
        <w:t>ITU-T G.703</w:t>
      </w:r>
      <w:r>
        <w:rPr/>
        <w:t xml:space="preserve"> — Physical/electrical characteristics of hierarchical digital interfaces (</w:t>
      </w:r>
      <w:r>
        <w:rPr>
          <w:lang w:val="ru-RU"/>
        </w:rPr>
        <w:t>включая</w:t>
      </w:r>
      <w:r>
        <w:rPr/>
        <w:t xml:space="preserve"> </w:t>
      </w:r>
      <w:r>
        <w:rPr>
          <w:lang w:val="ru-RU"/>
        </w:rPr>
        <w:t>параметры</w:t>
      </w:r>
      <w:r>
        <w:rPr/>
        <w:t xml:space="preserve"> </w:t>
      </w:r>
      <w:r>
        <w:rPr>
          <w:lang w:val="ru-RU"/>
        </w:rPr>
        <w:t>стыка</w:t>
      </w:r>
      <w:r>
        <w:rPr/>
        <w:t xml:space="preserve"> STM-1e 75 </w:t>
      </w:r>
      <w:r>
        <w:rPr>
          <w:lang w:val="ru-RU"/>
        </w:rPr>
        <w:t>Ом</w:t>
      </w:r>
      <w:r>
        <w:rPr/>
        <w:t>);</w:t>
      </w:r>
    </w:p>
    <w:p>
      <w:pPr>
        <w:pStyle w:val="Normal"/>
        <w:rPr/>
      </w:pPr>
      <w:r>
        <w:rPr>
          <w:b/>
        </w:rPr>
        <w:t>ITU-T G.957</w:t>
      </w:r>
      <w:r>
        <w:rPr/>
        <w:t xml:space="preserve"> — Optical interfaces for equipments and systems relating to the synchronous digital hierarchy;</w:t>
      </w:r>
    </w:p>
    <w:p>
      <w:pPr>
        <w:pStyle w:val="Normal"/>
        <w:rPr/>
      </w:pPr>
      <w:r>
        <w:rPr>
          <w:b/>
        </w:rPr>
        <w:t>ITU-T G.825</w:t>
      </w:r>
      <w:r>
        <w:rPr/>
        <w:t xml:space="preserve"> — The control of jitter and wander within digital networks which are based on the synchronous digital hierarchy (SDH);</w:t>
      </w:r>
    </w:p>
    <w:p>
      <w:pPr>
        <w:pStyle w:val="Normal"/>
        <w:rPr/>
      </w:pPr>
      <w:r>
        <w:rPr>
          <w:b/>
        </w:rPr>
        <w:t>ITU-T G.783</w:t>
      </w:r>
      <w:r>
        <w:rPr/>
        <w:t xml:space="preserve"> — Characteristics of synchronous digital hierarchy (SDH) equipment functional blocks;</w:t>
      </w:r>
    </w:p>
    <w:p>
      <w:pPr>
        <w:pStyle w:val="Normal"/>
        <w:rPr/>
      </w:pPr>
      <w:r>
        <w:rPr>
          <w:b/>
        </w:rPr>
        <w:t>RFC 4842</w:t>
      </w:r>
      <w:r>
        <w:rPr/>
        <w:t xml:space="preserve"> — Synchronous Optical Network/Synchronous Digital Hierarchy (SONET/SDH) Circuit Emulation over Packet (CEP);</w:t>
      </w:r>
    </w:p>
    <w:p>
      <w:pPr>
        <w:pStyle w:val="Normal"/>
        <w:rPr/>
      </w:pPr>
      <w:r>
        <w:rPr>
          <w:b/>
        </w:rPr>
        <w:t>RFC 4553</w:t>
      </w:r>
      <w:r>
        <w:rPr/>
        <w:t xml:space="preserve"> — Structure-Agnostic Time Division Multiplexing (TDM) over Packet (SAToP);</w:t>
      </w:r>
    </w:p>
    <w:p>
      <w:pPr>
        <w:pStyle w:val="Normal"/>
        <w:rPr/>
      </w:pPr>
      <w:r>
        <w:rPr>
          <w:b/>
        </w:rPr>
        <w:t>RFC 5086</w:t>
      </w:r>
      <w:r>
        <w:rPr/>
        <w:t xml:space="preserve"> — Structure-Aware Time Division Multiplexed (TDM) Circuit Emulation Service over Packet Switched Network (CESoPSN);</w:t>
      </w:r>
    </w:p>
    <w:p>
      <w:pPr>
        <w:pStyle w:val="Normal"/>
        <w:rPr/>
      </w:pPr>
      <w:r>
        <w:rPr>
          <w:b/>
        </w:rPr>
        <w:t>SFF-8472</w:t>
      </w:r>
      <w:r>
        <w:rPr/>
        <w:t xml:space="preserve"> — Diagnostic Monitoring Interface for Optical Transceivers (</w:t>
      </w:r>
      <w:r>
        <w:rPr>
          <w:lang w:val="ru-RU"/>
        </w:rPr>
        <w:t>спецификация</w:t>
      </w:r>
      <w:r>
        <w:rPr/>
        <w:t xml:space="preserve"> DDM/DOM);</w:t>
      </w:r>
    </w:p>
    <w:p>
      <w:pPr>
        <w:pStyle w:val="Normal"/>
        <w:rPr/>
      </w:pPr>
      <w:r>
        <w:rPr>
          <w:b/>
        </w:rPr>
        <w:t>PICMG AMC.0 R2.0</w:t>
      </w:r>
      <w:r>
        <w:rPr/>
        <w:t xml:space="preserve"> — Advanced Mezzanine Card Base Specification;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20.39.304-98</w:t>
      </w:r>
      <w:r>
        <w:rPr>
          <w:lang w:val="ru-RU"/>
        </w:rPr>
        <w:t xml:space="preserve"> — Комплексная система общих технических требований. Аппаратура, приборы, устройства и оборудование военного назначения. Требования стойкости к внешним воздействующим факторам;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В 25803-91</w:t>
      </w:r>
      <w:r>
        <w:rPr>
          <w:lang w:val="ru-RU"/>
        </w:rPr>
        <w:t xml:space="preserve"> — Радиопомехи индустриальные от оборудования военного назначения. Нормы и методы испытаний;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2.114-2016</w:t>
      </w:r>
      <w:r>
        <w:rPr>
          <w:lang w:val="ru-RU"/>
        </w:rPr>
        <w:t xml:space="preserve"> — Единая система конструкторской документации. Технические условия;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15.201-2003</w:t>
      </w:r>
      <w:r>
        <w:rPr>
          <w:lang w:val="ru-RU"/>
        </w:rPr>
        <w:t xml:space="preserve"> — Система разработки и постановки продукции на производство. Военная техника. Тактико-техническое (техническое) задание на выполнение опытно-конструкторских работ.</w:t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1. Наименование, шифр, основание, исполнители и сроки ОКР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 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Полное наименование составной части ОКР: «Разработка сменной интерфейсной субплаты 4×STM-1 (с поддержкой STM-4) и функционального программного Функционального модуля SDH для </w:t>
      </w:r>
      <w:bookmarkStart w:id="3" w:name="_Hlk238137243"/>
      <w:r>
        <w:rPr>
          <w:lang w:val="ru-RU"/>
        </w:rPr>
        <w:t xml:space="preserve">универсального базового модуля </w:t>
      </w:r>
      <w:bookmarkEnd w:id="3"/>
      <w:r>
        <w:rPr>
          <w:lang w:val="ru-RU"/>
        </w:rPr>
        <w:t>AMC семейства устройств ДММП».</w:t>
      </w:r>
    </w:p>
    <w:p>
      <w:pPr>
        <w:pStyle w:val="Normal"/>
        <w:rPr>
          <w:lang w:val="ru-RU"/>
        </w:rPr>
      </w:pPr>
      <w:r>
        <w:rPr>
          <w:lang w:val="ru-RU"/>
        </w:rPr>
        <w:t>Разрабатываемое изделие далее по тексту именуется интерфейсным модулем AMC STM или субплатой 4×STM-1.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1.2. Шифр</w:t>
      </w:r>
    </w:p>
    <w:p>
      <w:pPr>
        <w:pStyle w:val="Normal"/>
        <w:rPr>
          <w:lang w:val="ru-RU"/>
        </w:rPr>
      </w:pPr>
      <w:r>
        <w:rPr>
          <w:lang w:val="ru-RU"/>
        </w:rPr>
        <w:t>Шифр ОКР — «Развитие-ТСА».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1.3. Основание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Основание выполнения ОКР — приказ об открытии инициативной опытно-конструкторской работы «Развитие-ТСА» № _____ от __________.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 Исполнитель</w:t>
      </w:r>
    </w:p>
    <w:p>
      <w:pPr>
        <w:pStyle w:val="Normal"/>
        <w:rPr>
          <w:lang w:val="ru-RU"/>
        </w:rPr>
      </w:pPr>
      <w:r>
        <w:rPr>
          <w:lang w:val="ru-RU"/>
        </w:rPr>
        <w:t>Исполнителем ОКР является ООО тушканчик.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 Срок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Срок выполнения ОКР определяется согласно утверждённому плану-графику разработки рабочей конструкторской и программной документации, изготовления опытных образцов и проведения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2. Цель выполнения, наименование, назначение и область применения изделия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2.1. Цель ОКР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создание сменной интерфейсной субплаты на 4 слота SFP и программного Функционального модуля ПЛИС, обеспечивающих прием и передачу потоков SDH STM-1 (155,52 Мбит/с) и STM-4 (622,08 Мбит/с), четыре стандартизованных профиля инкапсуляции SDH-over-Packet (SAToP, VC-4 CEP, VC-3 CEP, 63×VC-12/E1), демультиплексирование каналов и прецизионную тактовую синхронизацию в составе платформы ДММП.</w:t>
      </w:r>
    </w:p>
    <w:p>
      <w:pPr>
        <w:pStyle w:val="Normal"/>
        <w:rPr>
          <w:lang w:val="ru-RU"/>
        </w:rPr>
      </w:pPr>
      <w:r>
        <w:rPr>
          <w:lang w:val="ru-RU"/>
        </w:rPr>
        <w:t>Состав разработки по данному ТЗ включает две неразрывные части: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Аппаратная часть:</w:t>
      </w:r>
      <w:r>
        <w:rPr>
          <w:lang w:val="ru-RU"/>
        </w:rPr>
        <w:t xml:space="preserve"> физическая печатная плата сменной мезонинной платы, устанавливаемая на базовый модуль </w:t>
      </w:r>
      <w:r>
        <w:rPr/>
        <w:t>AMC</w:t>
      </w:r>
      <w:r>
        <w:rPr>
          <w:lang w:val="ru-RU"/>
        </w:rPr>
        <w:t xml:space="preserve"> через разъем </w:t>
      </w:r>
      <w:r>
        <w:rPr/>
        <w:t>B</w:t>
      </w:r>
      <w:r>
        <w:rPr>
          <w:lang w:val="ru-RU"/>
        </w:rPr>
        <w:t>2</w:t>
      </w:r>
      <w:r>
        <w:rPr/>
        <w:t>B</w:t>
      </w:r>
      <w:r>
        <w:rPr>
          <w:lang w:val="ru-RU"/>
        </w:rPr>
        <w:t xml:space="preserve">, включающая входные интерфейсы, схемы защиты, трансиверы и микросхему </w:t>
      </w:r>
      <w:r>
        <w:rPr/>
        <w:t>EEPROM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Логическая часть (ПО Функционального модуля ПЛИС)</w:t>
      </w:r>
      <w:r>
        <w:rPr>
          <w:lang w:val="ru-RU"/>
        </w:rPr>
        <w:t xml:space="preserve">: специализированное функциональное Функциональный модуль обработки сигналов, </w:t>
      </w:r>
      <w:r>
        <w:rPr>
          <w:b/>
          <w:bCs/>
          <w:lang w:val="ru-RU"/>
        </w:rPr>
        <w:t xml:space="preserve">исполняемое в ПЛИС универсального базового модуля </w:t>
      </w:r>
      <w:r>
        <w:rPr>
          <w:b/>
          <w:bCs/>
        </w:rPr>
        <w:t>AMC</w:t>
      </w:r>
      <w:r>
        <w:rPr>
          <w:lang w:val="ru-RU"/>
        </w:rPr>
        <w:t>, подключаемое к внутренней шине ПЛИС при автоматическом обнаружении данной мезонинной платы.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 Назначение</w:t>
      </w:r>
    </w:p>
    <w:p>
      <w:pPr>
        <w:pStyle w:val="Normal"/>
        <w:rPr>
          <w:lang w:val="ru-RU"/>
        </w:rPr>
      </w:pPr>
      <w:r>
        <w:rPr>
          <w:lang w:val="ru-RU"/>
        </w:rPr>
        <w:t>Интерфейсный модуль AMC STM предназначен для установки в посадочные места плат-носителей Carrier и обеспечивает: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подключение четырех независимых интерфейсов SDH через сменные модули SFP (оптические STM-1o LC 1310/1550 нм либо электрические STM-1e 75 Ом BNC);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аппаратную поддержку скорости STM-4 (622,08 Мбит/с) на всех четырех портах при установке трансиверов STM-4 SFP;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цифровой мониторинг параметров оптических трансиверов DDM/DOM (мощность Tx/Rx, ток лазера, температура);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прозрачную инкапсуляцию неструктурированного потока STM-1 в пакеты Ethernet (Профиль 1: SAToP по RFC 4553);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эмуляцию виртуальных контейнеров верхнего уровня VC-4 в пакетной сети (Профиль 2: VC-4 CEP по RFC 4842);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выделение и независимую пакетную передачу контейнеров среднего уровня (Профиль 3: 3×VC-3 CEP по RFC 4842);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полное демультиплексирование потока STM-1 до уровня элементарных контейнеров VC-12 с извлечением до 63 независимых потоков E1 (Профиль 4: 63×VC-12 / CESoPSN RFC 5086) и трансляцией во внутреннюю матрицу TDM/Ethernet;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выделение тактовой частоты 19,44 МГц из любого входного сигнала STM с контролем качества байтов SSM (S1) и выдачу восстановленного сигнала в тактовую сеть шасси;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непрерывный контроль аварийных состояний секций и трактов SDH (RS-LOS, RS-LOF, MS-AIS, MS-RDI, AU-LOP), счетчиков четности BIP (B1, B2, B3) и коррекции указателей PTR.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2.3. Область применения</w:t>
      </w:r>
    </w:p>
    <w:p>
      <w:pPr>
        <w:pStyle w:val="Normal"/>
        <w:rPr>
          <w:lang w:val="ru-RU"/>
        </w:rPr>
      </w:pPr>
      <w:r>
        <w:rPr>
          <w:lang w:val="ru-RU"/>
        </w:rPr>
        <w:t>Модуль AMC STM применяется в аппаратуре ДММП для сопряжения с магистральными оптическими сетями SDH операторов связи, транспортными сетями электроэнергетики, ведомственными сетями передачи данных и системами сбора телеметрической информации.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3. Технические требования к изделию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3.1. Архитектурное построение и модульное разделение</w:t>
      </w:r>
    </w:p>
    <w:p>
      <w:pPr>
        <w:pStyle w:val="Normal"/>
        <w:rPr>
          <w:lang w:val="ru-RU"/>
        </w:rPr>
      </w:pPr>
      <w:r>
        <w:rPr>
          <w:lang w:val="ru-RU"/>
        </w:rPr>
        <w:t>3.1.1. Модуль реализуется на базе сменной субплаты 4×STM-1, сопрягаемой с универсальной базовой платой AMC через межплатный соединитель B2B.</w:t>
      </w:r>
    </w:p>
    <w:p>
      <w:pPr>
        <w:pStyle w:val="Normal"/>
        <w:rPr>
          <w:lang w:val="ru-RU"/>
        </w:rPr>
      </w:pPr>
      <w:r>
        <w:rPr>
          <w:lang w:val="ru-RU"/>
        </w:rPr>
        <w:t>3.1.2. Субплата 4×STM-1 содержит: 4 экранированные корзины SFP на лицевой панели, цепи лазерной безопасности (TX_DISABLE, TX_FAULT, RX_LOS), шину телеметрии DDM I2C, микросхему Board ID EEPROM (`ID = 0x02`) и светодиодные индикаторы состояния.</w:t>
      </w:r>
    </w:p>
    <w:p>
      <w:pPr>
        <w:pStyle w:val="Normal"/>
        <w:rPr>
          <w:lang w:val="ru-RU"/>
        </w:rPr>
      </w:pPr>
      <w:r>
        <w:rPr>
          <w:lang w:val="ru-RU"/>
        </w:rPr>
        <w:t>3.1.3. Базовая плата AMC обеспечивает: электропитание (+12 В, +3,3 В), контроллер MMC, тактирование и загрузку из Flash-памяти специализированного битового потока Функционального модуля SDH (автоматически выбираемого по коду Board ID).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3.2. Порты лицевой панели и поддержка оптических и электрических SFP</w:t>
      </w:r>
    </w:p>
    <w:p>
      <w:pPr>
        <w:pStyle w:val="Normal"/>
        <w:rPr>
          <w:lang w:val="ru-RU"/>
        </w:rPr>
      </w:pPr>
      <w:r>
        <w:rPr>
          <w:lang w:val="ru-RU"/>
        </w:rPr>
        <w:t>3.2.1. На лицевой панели субплаты размещаются 4 независимых посадочных места для сменных модулей SFP, промаркированных от STM-1 до STM-4 (или P1–P4).</w:t>
      </w:r>
    </w:p>
    <w:p>
      <w:pPr>
        <w:pStyle w:val="Normal"/>
        <w:rPr>
          <w:lang w:val="ru-RU"/>
        </w:rPr>
      </w:pPr>
      <w:r>
        <w:rPr>
          <w:lang w:val="ru-RU"/>
        </w:rPr>
        <w:t>3.2.2. Посадочные места SFP должны быть универсальными и аппаратно поддерживать установку: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оптических трансиверов STM-1 / STM-4 (дуплексный разъем LC, одномодовое волокно 1310/1550 нм по ITU-T G.957 либо многомодовое волокно 850 нм);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электрических трансиверов STM-1e (коаксиальный кабель 75 Ом с разъемами BNC или 1.0/2.3, линейное кодирование CMI по ITU-T G.703).</w:t>
      </w:r>
    </w:p>
    <w:p>
      <w:pPr>
        <w:pStyle w:val="Normal"/>
        <w:rPr>
          <w:lang w:val="ru-RU"/>
        </w:rPr>
      </w:pPr>
      <w:r>
        <w:rPr>
          <w:lang w:val="ru-RU"/>
        </w:rPr>
        <w:t>3.2.3. Субплата должна непрерывно считывать телеметрические данные DDM/DOM по стандарту SFF-8472: оптическую мощность передачи и приема, ток смещения лазера, напряжение питания и температуру трансивера.</w:t>
      </w:r>
    </w:p>
    <w:p>
      <w:pPr>
        <w:pStyle w:val="Normal"/>
        <w:rPr>
          <w:lang w:val="ru-RU"/>
        </w:rPr>
      </w:pPr>
      <w:r>
        <w:rPr>
          <w:lang w:val="ru-RU"/>
        </w:rPr>
        <w:t>3.2.4. Передатчики SFP должны аппаратно блокироваться (сигнал TX_DISABLE в активном состоянии) при подаче питания, аппаратном сбросе, извлечении модуля или отсутствии активного сервисного профиля.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3.3. Четыре стандартизованных профиля инкапсуляции SDH-over-Packet в Функциональном модуле ПЛИС</w:t>
      </w:r>
    </w:p>
    <w:p>
      <w:pPr>
        <w:pStyle w:val="Normal"/>
        <w:rPr>
          <w:lang w:val="ru-RU"/>
        </w:rPr>
      </w:pPr>
      <w:r>
        <w:rPr>
          <w:lang w:val="ru-RU"/>
        </w:rPr>
        <w:t>3.3.1. Функциональный модуль ПЛИС должно одновременно и независимо для каждого из 4 портов поддерживать 4 профиля обработки и инкапсуляции потоков SDH: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1 (Линейный прозрачный SAToP по RFC 4553) — прозрачная передача полного битового потока STM-1 (155,52 Мбит/с) без разбора структуры кадра («байт-в-байт», включая все заголовки SOH/MSOH) с минимальной фиксированной задержкой инкапсуляции;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2 (Эмуляция трактов верхнего уровня VC-4 CEP по RFC 4842) — терминация секционных заголовков RSOH/MSOH, обработка указателя AU-4 PTR и передача виртуального контейнера VC-4 (полезная нагрузка ~140 Мбит/с) в пакетной сети MPLS/Ethernet с контролем POH;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3 (Эмуляция трактов среднего уровня 3×VC-3 CEP по RFC 4842) — демультиплексирование потока на 3 независимых виртуальных контейнера VC-3 (по ~45 Мбит/с / 34 Мбит/с) с их индивидуальной раздельной инкапсуляцией в независимые пакетные псевдопровода;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Профиль 4 (Демультиплексирование 63×VC-12 / E1 CESoPSN по RFC 5086) — полная разборка структуры STM-1 до уровня элементарных контейнеров VC-12 с извлечением до 63 независимых потоков E1 (2,048 Мбит/с), передачей их во внутреннюю матрицу TDM/Ethernet платформы ДММП либо раздельной инкапсуляцией каждого E1 в пакетный поток.</w:t>
      </w:r>
    </w:p>
    <w:p>
      <w:pPr>
        <w:pStyle w:val="Normal"/>
        <w:rPr>
          <w:lang w:val="ru-RU"/>
        </w:rPr>
      </w:pPr>
      <w:r>
        <w:rPr>
          <w:lang w:val="ru-RU"/>
        </w:rPr>
        <w:t>3.3.2. Передача SDH-пакетов через канал Fabric 10GbE базовой платы осуществляется с наивысшим приоритетом Strict Priority QoS.</w:t>
      </w:r>
    </w:p>
    <w:p>
      <w:pPr>
        <w:pStyle w:val="Normal"/>
        <w:rPr>
          <w:lang w:val="ru-RU"/>
        </w:rPr>
      </w:pPr>
      <w:r>
        <w:rPr>
          <w:lang w:val="ru-RU"/>
        </w:rPr>
        <w:t>3.3.3. Приемный тракт каждого потока SDH/VC должен содержать адаптивный джиттер-буфер (Jitter Buffer) емкостью от 1 до 64 мс с контролем опустошения и переполнения.</w:t>
      </w:r>
    </w:p>
    <w:p>
      <w:pPr>
        <w:pStyle w:val="Normal"/>
        <w:rPr>
          <w:lang w:val="ru-RU"/>
        </w:rPr>
      </w:pPr>
      <w:r>
        <w:rPr>
          <w:lang w:val="ru-RU"/>
        </w:rPr>
        <w:t>3.3.4. При потере пакетов или аварии сети в выходной оптический тракт автоматически транслируется сигнал MS-AIS / AU-AIS («все единицы») с сохранением тактовой стабильности.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3.4. Тактовая сетевая синхронизация SDH и параметры джиттера</w:t>
      </w:r>
    </w:p>
    <w:p>
      <w:pPr>
        <w:pStyle w:val="Normal"/>
        <w:rPr>
          <w:lang w:val="ru-RU"/>
        </w:rPr>
      </w:pPr>
      <w:r>
        <w:rPr>
          <w:lang w:val="ru-RU"/>
        </w:rPr>
        <w:t>3.4.1. Для каждого передатчика STM должен поддерживаться выбор одного из следующих режимов тактирования: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синхронизация от системной опорной частоты 19,44 МГц через базовую плату (линии TCLK);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адаптивное восстановление частоты из пакетной сети (ACR);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автономное тактирование от локального прецизионного генератора (Holdover / Free-run);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сквозное тактирование от оптического приемника соответствующего порта (Loop timing).</w:t>
      </w:r>
    </w:p>
    <w:p>
      <w:pPr>
        <w:pStyle w:val="Normal"/>
        <w:rPr>
          <w:lang w:val="ru-RU"/>
        </w:rPr>
      </w:pPr>
      <w:r>
        <w:rPr>
          <w:lang w:val="ru-RU"/>
        </w:rPr>
        <w:t>3.4.2. Субплата должна выделять тактовую частоту 19,44 / 155,52 МГц из любого выбранного входного оптического потока STM, извлекать байт качества синхронизации SSM (S1) и передавать восстановленную частоту в линию `RX_CLK` для синхронизации всего шасси ДММП.</w:t>
      </w:r>
    </w:p>
    <w:p>
      <w:pPr>
        <w:pStyle w:val="Normal"/>
        <w:rPr>
          <w:lang w:val="ru-RU"/>
        </w:rPr>
      </w:pPr>
      <w:r>
        <w:rPr>
          <w:lang w:val="ru-RU"/>
        </w:rPr>
        <w:t>3.4.3. Выходной джиттер и вандер сформированного оптического сигнала STM-1/STM-4 должны строго удовлетворять требованиям стандарта ITU-T G.825.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3.5. Аварийная сигнализация, диагностика и контроль рабочих характеристик</w:t>
      </w:r>
    </w:p>
    <w:p>
      <w:pPr>
        <w:pStyle w:val="Normal"/>
        <w:rPr>
          <w:lang w:val="ru-RU"/>
        </w:rPr>
      </w:pPr>
      <w:r>
        <w:rPr>
          <w:lang w:val="ru-RU"/>
        </w:rPr>
        <w:t>3.5.1. Функциональный модуль ПЛИС должно непрерывно контролировать аварийные состояния на всех уровнях иерархии SDH: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уровень регенераторной секции: RS-LOS (потеря оптического сигнала), RS-LOF (потеря кадра), RS-OOF, ошибки четности B1 (BIP-8);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уровень мультиплексной секции: MS-AIS (сигнал аварии секции), MS-RDI (удаленная авария), ошибки четности B2 (BIP-24/96);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уровень тракта: AU-LOP (потеря указателя), HP-AIS, HP-RDI, ошибки четности B3 (BIP-8 тракта VC-4);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уровень субконтейнеров (для Профиля 4): TU-LOP, TU-AIS, ошибки четности V5 для каждого из 63 контейнеров VC-12.</w:t>
      </w:r>
    </w:p>
    <w:p>
      <w:pPr>
        <w:pStyle w:val="Normal"/>
        <w:rPr>
          <w:lang w:val="ru-RU"/>
        </w:rPr>
      </w:pPr>
      <w:r>
        <w:rPr>
          <w:lang w:val="ru-RU"/>
        </w:rPr>
        <w:t>3.5.2. Модуль должен вести статистику показателей качества SDH по ITU-T G.826/G.828 (ES, SES, BBE, UAS).</w:t>
      </w:r>
    </w:p>
    <w:p>
      <w:pPr>
        <w:pStyle w:val="Normal"/>
        <w:rPr>
          <w:lang w:val="ru-RU"/>
        </w:rPr>
      </w:pPr>
      <w:r>
        <w:rPr>
          <w:lang w:val="ru-RU"/>
        </w:rPr>
        <w:t>3.5.3. Для каждого порта должны поддерживаться следующие тестовые режимы: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оптическая петля (внешняя оптическая заглушка);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внутренняя цифровая петля полезной нагрузки (Payload Loopback);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пакетная петля со стороны сети Ethernet (Packet Loopback);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встроенный генератор и анализатор PRBS $2^{23}-1$ / $2^{31}-1$ для тестирования трактов на полной линейной скорости.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3.6. Механическая конструкция, сэндвич-сопряжение и охлаждение</w:t>
      </w:r>
    </w:p>
    <w:p>
      <w:pPr>
        <w:pStyle w:val="Normal"/>
        <w:rPr>
          <w:lang w:val="ru-RU"/>
        </w:rPr>
      </w:pPr>
      <w:r>
        <w:rPr>
          <w:lang w:val="ru-RU"/>
        </w:rPr>
        <w:t>3.6.1. Субплата 4×STM-1 устанавливается на базовую плату AMC, образуя единый модуль формата Single Full-size AMC.0 (73,5 × 180,6 × 28,95 мм).</w:t>
      </w:r>
    </w:p>
    <w:p>
      <w:pPr>
        <w:pStyle w:val="Normal"/>
        <w:rPr>
          <w:lang w:val="ru-RU"/>
        </w:rPr>
      </w:pPr>
      <w:r>
        <w:rPr>
          <w:lang w:val="ru-RU"/>
        </w:rPr>
        <w:t>3.6.2. Межплатная фиксация выполняется на 4–6 металлических резьбовых стойках М2,5 с жестким креплением к лонжерону-теплоотводу базовой платы.</w:t>
      </w:r>
    </w:p>
    <w:p>
      <w:pPr>
        <w:pStyle w:val="Normal"/>
        <w:rPr>
          <w:lang w:val="ru-RU"/>
        </w:rPr>
      </w:pPr>
      <w:r>
        <w:rPr>
          <w:lang w:val="ru-RU"/>
        </w:rPr>
        <w:t>3.6.3. Расположение 4 слотов SFP должно обеспечивать свободное извлечение трансиверов за язычки/защелки без механического воздействия на соседние модули и оптические патч-корды.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3.7. Электропитание, надежность и условия эксплуатации</w:t>
      </w:r>
    </w:p>
    <w:p>
      <w:pPr>
        <w:pStyle w:val="Normal"/>
        <w:rPr>
          <w:lang w:val="ru-RU"/>
        </w:rPr>
      </w:pPr>
      <w:r>
        <w:rPr>
          <w:lang w:val="ru-RU"/>
        </w:rPr>
        <w:t>3.7.1. Потребляемая мощность субплаты 4×STM-1 при четырех активных SFP-трансиверах не должна превышать 15 Вт (суммарная мощность модуля в сборе с базовой платой — не более 35 Вт).</w:t>
      </w:r>
    </w:p>
    <w:p>
      <w:pPr>
        <w:pStyle w:val="Normal"/>
        <w:rPr>
          <w:lang w:val="ru-RU"/>
        </w:rPr>
      </w:pPr>
      <w:r>
        <w:rPr>
          <w:lang w:val="ru-RU"/>
        </w:rPr>
        <w:t>3.7.2. По стойкости к механическим и климатическим воздействиям модуль в сборе должен соответствовать ГОСТ РВ 20.39.304-98 (группы 1.1, 1.3, 1.4.1 «О», рабочая температура от минус 10 до плюс 50 °С, предельная от минус 40 до плюс 65 °С, синусоидальная вибрация 5g, удары 15g).</w:t>
      </w:r>
    </w:p>
    <w:p>
      <w:pPr>
        <w:pStyle w:val="Normal"/>
        <w:rPr>
          <w:lang w:val="ru-RU"/>
        </w:rPr>
      </w:pPr>
      <w:r>
        <w:rPr>
          <w:lang w:val="ru-RU"/>
        </w:rPr>
        <w:t>3.7.3. По уровню радиопомех изделие должно удовлетворять требованиям группы 1.1.1 ГОСТ В 25803-91.</w:t>
      </w:r>
    </w:p>
    <w:p>
      <w:pPr>
        <w:pStyle w:val="Normal"/>
        <w:rPr>
          <w:lang w:val="ru-RU"/>
        </w:rPr>
      </w:pPr>
      <w:r>
        <w:rPr>
          <w:lang w:val="ru-RU"/>
        </w:rPr>
        <w:t>3.7.4. Наработка на отказ (MTBF) модуля AMC STM должна составлять не менее 15 000 часов, назначенный срок службы — не менее 20 лет.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4. Технико-экономические требования</w:t>
      </w:r>
    </w:p>
    <w:p>
      <w:pPr>
        <w:pStyle w:val="Normal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5. Требования к видам обеспечения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5.1. Нормативно-техническое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Разработка субплаты и Функционального модуля SDH должна выполняться в соответствии со стандартами ITU-T G.707, G.703, G.957, G.825, G.783, RFC 4842, RFC 4553, RFC 5086, SFF-8472, ГОСТ РВ 20.39.304-98 и ГОСТ В 25803-91.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5.2. Метрологическое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документации должны быть определены методики измерений оптической мощности, уровня джиттера/вандера по G.825, коэффициента битовых ошибок BER и частоты проскальзывания указателей.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Диагностическое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Система встроенной диагностики должна непрерывно контролировать телеметрию DDM SFP, аварии SDH всех уровней, счетчики ошибок четности B1/B2/B3 и формировать аварийные сообщения для РМО.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Программное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изделия поставляются: битовый поток прошивки Функционального модуля SDH для Flash-памяти базовой платы AMC, драйверы интеграции с ОС Linux и структуры MIB для SNMP/РМО.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6. Требования к сырью, материалам и комплектующим изделиям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схемотехники субплаты приоритет должен отдаваться комплектующим и материалам отечественного производства с приемкой ОТК.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7. Требования к консервации, упаковке и маркировке</w:t>
      </w:r>
    </w:p>
    <w:p>
      <w:pPr>
        <w:pStyle w:val="Normal"/>
        <w:rPr>
          <w:lang w:val="ru-RU"/>
        </w:rPr>
      </w:pPr>
      <w:r>
        <w:rPr>
          <w:lang w:val="ru-RU"/>
        </w:rPr>
        <w:t>Каждая субплата должна иметь маркировку с указанием децимального номера, серийного номера, ревизии и обозначений портов STM-1…STM-4. Индивидуальная тара должна обеспечивать защиту от электростатических разрядов (ESD). Срок хранения в заводской таре — не менее 1 года по ГОСТ 15150.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8. Специальные требования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8.1. Интеграция с программным комплексом РМО</w:t>
      </w:r>
    </w:p>
    <w:p>
      <w:pPr>
        <w:pStyle w:val="Normal"/>
        <w:rPr>
          <w:lang w:val="ru-RU"/>
        </w:rPr>
      </w:pPr>
      <w:r>
        <w:rPr>
          <w:lang w:val="ru-RU"/>
        </w:rPr>
        <w:t>8.1.1. Модуль AMC STM передает в РМО (C++/Qt) данные телеметрии: мнемосхему 4 портов SFP, уровни оптической мощности Tx/Rx (DDM), аварийные статусы секций и трактов (LOS/LOF/AIS/RDI/LOP), счетчики ошибок BIP B1/B2/B3 и статус качества SSM (S1).</w:t>
      </w:r>
    </w:p>
    <w:p>
      <w:pPr>
        <w:pStyle w:val="Normal"/>
        <w:rPr>
          <w:lang w:val="ru-RU"/>
        </w:rPr>
      </w:pPr>
      <w:r>
        <w:rPr>
          <w:lang w:val="ru-RU"/>
        </w:rPr>
        <w:t>8.1.2. Модуль должен обеспечивать обработку дистанционных команд РМО: включение/отключение лазера (TX_DISABLE), выбор сервисного профиля (1–4), настройка параметров джиттер-буфера, включение диагностических петель и запуск PRBS-тестирования.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210b8"/>
    <w:pPr>
      <w:widowControl/>
      <w:bidi w:val="0"/>
      <w:spacing w:lineRule="auto" w:line="264" w:before="0" w:after="0"/>
      <w:ind w:firstLine="720"/>
      <w:jc w:val="both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210b8"/>
    <w:pPr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210b8"/>
    <w:pPr>
      <w:keepLines/>
      <w:spacing w:before="24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1210b8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1210b8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94189"/>
    <w:rPr>
      <w:color w:themeColor="hyperlink" w:val="0000FF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2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1F4D78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29418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94189"/>
    <w:pPr>
      <w:spacing w:before="0" w:after="100"/>
      <w:ind w:left="220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Application>LibreOffice/25.2.3.2$Linux_X86_64 LibreOffice_project/520$Build-2</Application>
  <AppVersion>15.0000</AppVersion>
  <Pages>11</Pages>
  <Words>2202</Words>
  <Characters>16271</Characters>
  <CharactersWithSpaces>18339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2026-07-21T06:07:00Z</dcterms:created>
  <dc:creator>Проектная рабочая группа</dc:creator>
  <dc:description>Исходные документы не изменены</dc:description>
  <dc:language>ru-RU</dc:language>
  <cp:lastModifiedBy/>
  <dcterms:modified xsi:type="dcterms:W3CDTF">2026-10-02T03:10:05Z</dcterms:modified>
  <cp:revision>10</cp:revision>
  <dc:subject>Рабочий проект ТЗ на ОКР</dc:subject>
  <dc:title>Техническое задание на изделие ДММП ATCA 6U/6-slot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