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УТВЕРЖДЕНО</w:t>
      </w:r>
      <w:br/>
      <w:r>
        <w:rPr>
          <w:rFonts w:ascii="Times New Roman" w:hAnsi="Times New Roman" w:eastAsia="Times New Roman"/>
          <w:sz w:val="22"/>
        </w:rPr>
        <w:t xml:space="preserve">______________________________</w:t>
      </w:r>
      <w:br/>
      <w:r>
        <w:rPr>
          <w:rFonts w:ascii="Times New Roman" w:hAnsi="Times New Roman" w:eastAsia="Times New Roman"/>
          <w:sz w:val="22"/>
        </w:rPr>
        <w:t xml:space="preserve">(должность, организация)</w:t>
      </w:r>
      <w:br/>
      <w:r>
        <w:rPr>
          <w:rFonts w:ascii="Times New Roman" w:hAnsi="Times New Roman" w:eastAsia="Times New Roman"/>
          <w:sz w:val="22"/>
        </w:rPr>
        <w:t xml:space="preserve">______________ / [уточнить] /</w:t>
      </w:r>
      <w:br/>
      <w:r>
        <w:rPr>
          <w:rFonts w:ascii="Times New Roman" w:hAnsi="Times New Roman" w:eastAsia="Times New Roman"/>
          <w:sz w:val="22"/>
        </w:rPr>
        <w:t xml:space="preserve">«___» __________ 20__ г.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СОГЛАСОВАНО</w:t>
      </w:r>
      <w:br/>
      <w:r>
        <w:rPr>
          <w:rFonts w:ascii="Times New Roman" w:hAnsi="Times New Roman" w:eastAsia="Times New Roman"/>
          <w:sz w:val="22"/>
        </w:rPr>
        <w:t xml:space="preserve">______________________________</w:t>
      </w:r>
      <w:br/>
      <w:r>
        <w:rPr>
          <w:rFonts w:ascii="Times New Roman" w:hAnsi="Times New Roman" w:eastAsia="Times New Roman"/>
          <w:sz w:val="22"/>
        </w:rPr>
        <w:t xml:space="preserve">(должность, организация)</w:t>
      </w:r>
      <w:br/>
      <w:r>
        <w:rPr>
          <w:rFonts w:ascii="Times New Roman" w:hAnsi="Times New Roman" w:eastAsia="Times New Roman"/>
          <w:sz w:val="22"/>
        </w:rPr>
        <w:t xml:space="preserve">______________ / [уточнить] /</w:t>
      </w:r>
      <w:br/>
      <w:r>
        <w:rPr>
          <w:rFonts w:ascii="Times New Roman" w:hAnsi="Times New Roman" w:eastAsia="Times New Roman"/>
          <w:sz w:val="22"/>
        </w:rPr>
        <w:t xml:space="preserve">«___» __________ 20__ г.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ТЕХНИЧЕСКОЕ ЗАДАНИЕ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на выполнение составной части опытно-конструкторской работы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Разработка сменной интерфейсной субплаты 4×IEEE C37.94 и функционального модуля релейной защиты для универсального базового модуля AMC семейства ДММП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Шифр ОКР: «Развитие-ТСА»</w:t>
      </w:r>
      <w:br/>
      <w:r>
        <w:rPr>
          <w:rFonts w:ascii="Times New Roman" w:hAnsi="Times New Roman" w:eastAsia="Times New Roman"/>
          <w:sz w:val="22"/>
        </w:rPr>
        <w:t xml:space="preserve">Обозначение документа: [уточнить]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Разработал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Согласовал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Утвердил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  <w:br/>
            <w:r>
              <w:rPr>
                <w:rFonts w:ascii="Times New Roman" w:hAnsi="Times New Roman" w:eastAsia="Times New Roman"/>
                <w:sz w:val="18"/>
              </w:rPr>
              <w:t xml:space="preserve">должность, ФИО</w:t>
            </w:r>
            <w:br/>
            <w:r>
              <w:rPr>
                <w:rFonts w:ascii="Times New Roman" w:hAnsi="Times New Roman" w:eastAsia="Times New Roman"/>
                <w:sz w:val="18"/>
              </w:rPr>
              <w:t xml:space="preserve">подпись, дата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  <w:br/>
            <w:r>
              <w:rPr>
                <w:rFonts w:ascii="Times New Roman" w:hAnsi="Times New Roman" w:eastAsia="Times New Roman"/>
                <w:sz w:val="18"/>
              </w:rPr>
              <w:t xml:space="preserve">должность, ФИО</w:t>
            </w:r>
            <w:br/>
            <w:r>
              <w:rPr>
                <w:rFonts w:ascii="Times New Roman" w:hAnsi="Times New Roman" w:eastAsia="Times New Roman"/>
                <w:sz w:val="18"/>
              </w:rPr>
              <w:t xml:space="preserve">подпись, дата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  <w:br/>
            <w:r>
              <w:rPr>
                <w:rFonts w:ascii="Times New Roman" w:hAnsi="Times New Roman" w:eastAsia="Times New Roman"/>
                <w:sz w:val="18"/>
              </w:rPr>
              <w:t xml:space="preserve">должность, ФИО</w:t>
            </w:r>
            <w:br/>
            <w:r>
              <w:rPr>
                <w:rFonts w:ascii="Times New Roman" w:hAnsi="Times New Roman" w:eastAsia="Times New Roman"/>
                <w:sz w:val="18"/>
              </w:rPr>
              <w:t xml:space="preserve">подпись, дата</w:t>
            </w:r>
          </w:p>
        </w:tc>
      </w:tr>
    </w:tbl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Место разработки: [уточнить]</w:t>
      </w:r>
      <w:br/>
      <w:r>
        <w:rPr>
          <w:rFonts w:ascii="Times New Roman" w:hAnsi="Times New Roman" w:eastAsia="Times New Roman"/>
          <w:sz w:val="22"/>
        </w:rPr>
        <w:t xml:space="preserve">Год: 20__</w:t>
      </w:r>
    </w:p>
    <w:p>
      <w:r>
        <w:br w:type="page"/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ЛИСТ СОГЛАСОВАНИЯ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Техническое задание на составную часть ОКР «Развитие-ТСА» согласовывается с головным исполнителем ОКР и другими заинтересованными организациями по решению заказчика. Неизвестные реквизиты не заполняются до уточнения.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Организация / подразделение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Должность, ФИО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Подпись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Дата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Головной исполнитель ОКР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Заказчик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Другие согласующие организации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Служба ведомственного контроля (при необходимости)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</w:tbl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перечень согласующих организаций, должности, ФИО, даты и регистрационные реквизиты.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наличие подписей и дат на титульном листе и в настоящем листе.</w:t>
      </w:r>
    </w:p>
    <w:p>
      <w:r>
        <w:br w:type="page"/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ПЕРЕЧЕНЬ ОБОЗНАЧЕНИЙ И СОКРАЩЕНИЙ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Обозначение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Расшифровка / термин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AMC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AdvancedMC; модульный формат платы для установки на Carrier платформы ДММП.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ПЛИС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Программируемая логическая интегральная схема.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B2B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Board-to-Board; межплатное соединение.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Board ID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Идентификатор платы.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MMC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Module Management Controller; контроллер управления модулем.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РМО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Рабочее место оператора.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ОКР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Опытно-конструкторская работа.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РКД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Рабочая конструкторская документация.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ПМИ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Программа и методика испытаний.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СЧ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Составная часть.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ТЗ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Техническое задание.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DDM/DOM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Digital Diagnostic Monitoring / Digital Optical Monitoring.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CDR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Clock and Data Recovery.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LOS / LOF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Loss of Signal / Loss of Frame.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PTP / PDV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Precision Time Protocol / Packet Delay Variation.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P2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Hitless 1+1; резервирование двумя идентичными трактами.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PRBS / QoS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Pseudo-Random Binary Sequence / Quality of Service.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L2/L3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Уровень 2 / уровень 3 сетевого взаимодействия.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EEPROM / SoC FPGA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Энергонезависимая память / система на кристалле с ПЛИС.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C37.94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Интерфейс передачи потоков N×64 кбит/с по IEEE C37.94.</w:t>
            </w:r>
          </w:p>
        </w:tc>
      </w:tr>
    </w:tbl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точное фирменное или нормативное раскрытие обозначений AMC, MMC и специальных сокращений изделия.</w:t>
      </w:r>
    </w:p>
    <w:p>
      <w:r>
        <w:br w:type="page"/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ПЕРЕЧЕНЬ ПРИМЕНИМЫХ НОРМАТИВНЫХ И СПРАВОЧНЫХ ДОКУМЕНТОВ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Обозначение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Применение в настоящем ТЗ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ГОСТ 15.016-2016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Построение, содержание и оформление ТЗ на составную часть ОКР; разделы 6.1, 6.2 и 7.1 в применимой части.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IEEE C37.94-2017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Интерфейс IEEE C37.94; совместимость с IEEE C37.94-2002 задана настоящим ТЗ.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IEEE C37.94-2002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Обеспечение совместимости, заданной настоящим ТЗ.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ITU-T G.823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Джиттер и вандер восстановленного тактирования.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SFF-8472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Опрос DDM/DOM и диагностическая телеметрия.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IEEE 802.1p/Q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Strict Priority QoS.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PICMG AMC.0 R2.0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Формат и сопряжение AMC.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ГОСТ РВ 20.39.304-98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Стойкость к внешним воздействиям; группы 1.1, 1.3, 1.4.1, исполнение «О».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ГОСТ В 25803-91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Радиопомехи; группа 1.1.1.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ГОСТ 2.114-2016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Документация — в применимой части.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ГОСТ 15150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Условия хранения в заводской таре.</w:t>
            </w:r>
          </w:p>
        </w:tc>
      </w:tr>
    </w:tbl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редакции документов, если применяемые редакции отличаются от указанных в исходных данных.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1 Наименование, шифр, основание, исполнители и сроки ОКР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1.1 Наименование составной части ОКР: сменная интерфейсная субплата 4×IEEE C37.94 и функциональный модуль релейной защиты для универсального базового модуля AMC семейства ДММП.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1.2 Шифр ОКР: «Развитие-ТСА». Дополнительный шифр составной части: [уточнить].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1.3 Основание: приказ об открытии инициативной ОКР № [уточнить] от [уточнить].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1.4 Исполнитель: [организация-исполнитель]. Головной исполнитель ОКР: [уточнить]. Заказчик: [уточнить].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1.5 Сроки выполнения связать с утверждённым планом-графиком разработки РКД, программной документации, изготовления образцов и испытаний. Конкретные даты не заданы.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реквизиты основания, исполнителя и соответствие сроков утверждённому плану-графику.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номер и дата приказа, организации, ответственные лица, дополнительные шифры и даты этапов.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2 Цель выполнения, наименование, назначение и область применения изделия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2.1 Цель — разработка субплаты и функционального модуля, обеспечивающих оптические каналы терминалов РЗА/ДЗЛ и ДФЗ, противоаварийной автоматики и регистраторов аварийных событий подстанций ДММП, с прозрачной передачей N×64 кбит/с, фиксированной низкой задержкой, симметрией, резервированием P2 и безопасным аварийным поведением.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2.2 Аппаратная часть: сменная субплата с четырьмя оптическими интерфейсами, защитными цепями, трансиверами, DDM/DOM и EEPROM Board ID. Логическая часть: функциональный модуль ПЛИС базовой платы, автоматически активируемый по Board ID. Ответственность аппаратной и логической частей сохраняется раздельной.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2.3 AMC устанавливается на Carrier платформы ДММП; субплата соединяется с базовой платой по B2B. Базовая плата предоставляет +12 В, +3,3 В, MMC, тактирование и автоматическую загрузку bitstream из Flash по Board ID.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инспекция состава и установки, демонстрация автоматической активации по Board ID и проверка сопряжения с базовой платой.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обозначение изделия и состав комплектации, если они должны быть зафиксированы отдельно.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3 Технические требования к изделию</w:t>
      </w:r>
    </w:p>
    <w:p>
      <w:pPr>
        <w:pStyle w:val="Heading2"/>
        <w:spacing w:after="100" w:line="240" w:lineRule="auto"/>
      </w:pPr>
      <w:r>
        <w:rPr>
          <w:rFonts w:ascii="Times New Roman" w:hAnsi="Times New Roman" w:eastAsia="Times New Roman"/>
          <w:sz w:val="24"/>
          <w:b/>
        </w:rPr>
        <w:t xml:space="preserve">3.1 Архитектура и оптические интерфейсы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3.1.1 Субплата должна иметь четыре независимых оптических порта LC/SFP. Применяются трансиверы 850/1310 нм с CDR, защитные цепи, DDM/DOM, EEPROM Board ID 0x05 и индикация.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3.1.2 Предусмотреть четыре экранированные корзины SFP и дуплексные LC с отдельными волокнами TX/RX. Для оптики 850 нм: MM 50/125 или 62,5/125 мкм, дальность до 2 км. Для 1310 нм: SM 9/125 мкм, дальность 20–40 км. Окончательное исполнение LC/SFP уточняется.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3.1.3 Обеспечить линии TX_DISABLE, TX_FAULT, RX_LOS. Опрос DDM/DOM выполнять по I2C согласно SFF-8472; контролировать мощность TX/RX, температуру и ток лазера с передачей телеметрии в РМО.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3.1.4 На каждом порту независимо поддерживать N = 1…12 каналов по 64 кбит/с; полезная скорость — 64–768 кбит/с; кадровый поток — 2048 кбит/с. Реализовать IEEE C37.94-2017 с совместимостью с IEEE C37.94-2002, без изменения или инверсии пользовательских битов.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осмотр и измерение состава портов, длин волн, типов волокна и скоростей; испытание линий управления, I2C/DDM/DOM, Board ID и прозрачности битов. Погрешности и условия измерений [уточнить].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окончательный вариант LC/SFP; погрешности измерений дальности/мощности; вид индикации.</w:t>
      </w:r>
    </w:p>
    <w:p>
      <w:pPr>
        <w:pStyle w:val="Heading2"/>
        <w:spacing w:after="100" w:line="240" w:lineRule="auto"/>
      </w:pPr>
      <w:r>
        <w:rPr>
          <w:rFonts w:ascii="Times New Roman" w:hAnsi="Times New Roman" w:eastAsia="Times New Roman"/>
          <w:sz w:val="24"/>
          <w:b/>
        </w:rPr>
        <w:t xml:space="preserve">3.2 Пакетная передача, резервирование и безопасные состояния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3.2.1 Реализовать C37.94-over-Packet на Ethernet L2 с фиксированным периодом пакетизации, Fabric 10GbE и Strict Priority QoS по IEEE 802.1p/Q. L3/UDP/IP применять при необходимости — с процессорным ядром SoC FPGA либо статической аппаратной подстановкой заголовка.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3.2.2 Задержка должна быть фиксированной и детерминированной. Асимметрия прямого и обратного направлений —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3.2.3 Ретрансляция потерянных пакетов запрещена. Единичный пропуск фиксировать как ошибку и обозначать Yellow Alarm / LOF. Превышение настраиваемого порога последовательных потерь должно вызывать Laser Off. Число потерь и абсолютная задержка: [уточнить].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3.2.4 P2 (Hitless 1+1): передавать две идентичные копии по независимым трактам, выполнять поштучную дедупликацию и не допускать потери битов при отказе одного пути. При LOS/LOF или потере сетевого тракта — Yellow Alarm или немедленный Laser Off. Не допускаются недостоверные, случайные и повторно воспроизведённые устаревшие данные РЗА. Условия выбора безопасного состояния при сохранении второго пути: [уточнить].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анализ потоков и испытание при N, нагрузке сети и температурном диапазоне; измерить задержку/асимметрию, проверить потери, Yellow Alarm/LOF, Laser Off, дедупликацию и отказ одного пути. Порог потерь, абсолютная задержка и критерий безопасного состояния [уточнить].</w:t>
      </w:r>
    </w:p>
    <w:p>
      <w:pPr>
        <w:pStyle w:val="Heading2"/>
        <w:spacing w:after="100" w:line="240" w:lineRule="auto"/>
      </w:pPr>
      <w:r>
        <w:rPr>
          <w:rFonts w:ascii="Times New Roman" w:hAnsi="Times New Roman" w:eastAsia="Times New Roman"/>
          <w:sz w:val="24"/>
          <w:b/>
        </w:rPr>
        <w:t xml:space="preserve">3.3 Тактирование, диагностика и конструкция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3.3.1 Режимы каждого порта: Loop timing от входного сигнала, TCLK 19,44 МГц, PTPv2, локальный Holdover. Восстановленные 2048 кГц выбранного порта выдавать в RX_CLK. Джиттер/вандер — по ITU-T G.823.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3.3.2 Контролировать LOS, LOF, Yellow Alarm, битовые ошибки и DDM. Для каждого порта предусмотреть Optical Loopback, Payload Loopback, Ethernet Packet Loopback, генератор и анализатор PRBS 2^15−1 и 2^23−1.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3.3.3 Мощность субплаты — не более 12 Вт; сборки с базовой платой — не более 35 Вт.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3.3.4 Конструкция — Single Full-size AMC.0, 73,5 × 180,6 × 28,95 мм; межплатное крепление — на 4–6 металлических стойках М2,5.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3.3.5 Стойкость: ГОСТ РВ 20.39.304-98,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3.3.6 MTBF — не менее 15 000 ч; назначенный срок службы — не менее 20 лет.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измерение тактирования, RX_CLK, джиттера/вандера, мощности и габаритов; демонстрация петель и PRBS; испытания стойкости; анализ MTBF и срока службы. Методики, допуски и программа воздействий [уточнить].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условия измерения мощности, критерии Holdover/PTPv2, допуски габаритов и порядок подтверждения MTBF/срока службы.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4 Технико-экономические требования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Требования не предъявляются.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отсутствие дополнительных технико-экономических показателей.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5 Требования к видам обеспечения</w:t>
      </w:r>
    </w:p>
    <w:p>
      <w:pPr>
        <w:pStyle w:val="Heading2"/>
        <w:spacing w:after="100" w:line="240" w:lineRule="auto"/>
      </w:pPr>
      <w:r>
        <w:rPr>
          <w:rFonts w:ascii="Times New Roman" w:hAnsi="Times New Roman" w:eastAsia="Times New Roman"/>
          <w:sz w:val="24"/>
          <w:b/>
        </w:rPr>
        <w:t xml:space="preserve">5.1 Нормативное обеспечение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Применять документы, перечисленные в перечне применимых нормативных и справочных документов, в части, относящейся к изделию и настоящему ТЗ.</w:t>
      </w:r>
    </w:p>
    <w:p>
      <w:pPr>
        <w:pStyle w:val="Heading2"/>
        <w:spacing w:after="100" w:line="240" w:lineRule="auto"/>
      </w:pPr>
      <w:r>
        <w:rPr>
          <w:rFonts w:ascii="Times New Roman" w:hAnsi="Times New Roman" w:eastAsia="Times New Roman"/>
          <w:sz w:val="24"/>
          <w:b/>
        </w:rPr>
        <w:t xml:space="preserve">5.2 Метрологическое обеспечение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Предусмотреть средства и методики измерения оптической мощности, джиттера по ITU-T G.823, сквозной задержки и асимметрии. Незаданные допуски не устанавливать.</w:t>
      </w:r>
    </w:p>
    <w:p>
      <w:pPr>
        <w:pStyle w:val="Heading2"/>
        <w:spacing w:after="100" w:line="240" w:lineRule="auto"/>
      </w:pPr>
      <w:r>
        <w:rPr>
          <w:rFonts w:ascii="Times New Roman" w:hAnsi="Times New Roman" w:eastAsia="Times New Roman"/>
          <w:sz w:val="24"/>
          <w:b/>
        </w:rPr>
        <w:t xml:space="preserve">5.3 Диагностическое обеспечение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Обеспечить регистрацию DDM, LOS/LOF/Yellow Alarm и статистики задержки, формирование сообщений и отчётов для РМО.</w:t>
      </w:r>
    </w:p>
    <w:p>
      <w:pPr>
        <w:pStyle w:val="Heading2"/>
        <w:spacing w:after="100" w:line="240" w:lineRule="auto"/>
      </w:pPr>
      <w:r>
        <w:rPr>
          <w:rFonts w:ascii="Times New Roman" w:hAnsi="Times New Roman" w:eastAsia="Times New Roman"/>
          <w:sz w:val="24"/>
          <w:b/>
        </w:rPr>
        <w:t xml:space="preserve">5.4 Программное обеспечение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Разработать bitstream функционального модуля для Flash базовой платы, драйверы Linux и MIB для РМО.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инспекция средств и документации; измерения по методикам; демонстрация регистрации, сообщений, отчётов, загрузки bitstream, драйверов Linux и MIB. Состав СИ, ПО и критерии полноты отчётов [уточнить].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6 Требования к сырью, материалам и комплектующим изделиям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Предусмотреть приоритет отечественных материалов и комплектующих с приёмкой ОТК. При отсутствии аналогов разрешить импортную ЭКБ промышленного температурного диапазона.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анализ ведомости материалов/покупных изделий, документов о приёмке ОТК и обоснования применения импортной ЭКБ.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7 Требования к консервации, упаковке и маркировке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7.1 Предусмотреть децимальный и серийный номера, ревизию и маркировку C37-1…C37-4.</w:t>
      </w:r>
      <w:br/>
      <w:r>
        <w:rPr>
          <w:rFonts w:ascii="Times New Roman" w:hAnsi="Times New Roman" w:eastAsia="Times New Roman"/>
          <w:sz w:val="22"/>
        </w:rPr>
        <w:t xml:space="preserve">7.2 Оптические разъёмы защищать колпачками.</w:t>
      </w:r>
      <w:br/>
      <w:r>
        <w:rPr>
          <w:rFonts w:ascii="Times New Roman" w:hAnsi="Times New Roman" w:eastAsia="Times New Roman"/>
          <w:sz w:val="22"/>
        </w:rPr>
        <w:t xml:space="preserve">7.3 Хранение в заводской таре — не менее 1 года по ГОСТ 15150.</w:t>
      </w:r>
      <w:br/>
      <w:r>
        <w:rPr>
          <w:rFonts w:ascii="Times New Roman" w:hAnsi="Times New Roman" w:eastAsia="Times New Roman"/>
          <w:sz w:val="22"/>
        </w:rPr>
        <w:t xml:space="preserve">7.4 Незаданные условия консервации не дополнять.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осмотр маркировки и наличия колпачков; анализ упаковки и документов на срок хранения по ГОСТ 15150.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[уточнить] место и способ нанесения маркировки, вид упаковки и условия хранения, кроме установленного срока и ссылки на ГОСТ 15150.</w:t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8 Специальные требования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8.1 Телеметрия РМО (C++/Qt) должна включать мнемосхему четырёх портов, N, DDM в дБм, LOS/LOF/Yellow Alarm, задержку, асимметрию и статус P2.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8.2 Команды РМО должны обеспечивать настройку N, режима тактирования и P2, управление петлями и запуск PRBS.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  <w:i/>
        </w:rPr>
        <w:t xml:space="preserve">Проверка: демонстрация мнемосхемы и каждой команды на портах; наблюдение DDM в дБм, аварий, задержки, асимметрии и P2. Формат сообщений/отчётов и критерии интерфейса [уточнить].</w:t>
      </w:r>
    </w:p>
    <w:p>
      <w:r>
        <w:br w:type="page"/>
      </w:r>
    </w:p>
    <w:p>
      <w:pPr>
        <w:pStyle w:val="Heading1"/>
        <w:spacing w:after="100" w:line="240" w:lineRule="auto"/>
      </w:pPr>
      <w:r>
        <w:rPr>
          <w:rFonts w:ascii="Times New Roman" w:hAnsi="Times New Roman" w:eastAsia="Times New Roman"/>
          <w:sz w:val="28"/>
          <w:b/>
        </w:rPr>
        <w:t xml:space="preserve">ПОДПИСИ РАЗРАБОТЧИКОВ И СОГЛАСУЮЩИХ ОРГАНИЗАЦИЙ</w:t>
      </w:r>
    </w:p>
    <w:p>
      <w:pPr>
        <w:pStyle w:val="Normal"/>
        <w:spacing w:after="100" w:line="240" w:lineRule="auto"/>
      </w:pPr>
      <w:r>
        <w:rPr>
          <w:rFonts w:ascii="Times New Roman" w:hAnsi="Times New Roman" w:eastAsia="Times New Roman"/>
          <w:sz w:val="22"/>
        </w:rPr>
        <w:t xml:space="preserve">После основного текста настоящего ТЗ размещаются подписи разработчиков ТЗ и согласующие подписи других организаций (предприятий), предусмотренных при согласовании ТЗ на СЧ ОКР.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Роль / организация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Должность, ФИО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Подпись</w:t>
            </w:r>
          </w:p>
        </w:tc>
        <w:tc>
          <w:tcPr>
            <w:shd w:fill="D9EAF7"/>
          </w:tcPr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  <w:b/>
              </w:rPr>
              <w:t xml:space="preserve">Дата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Разработчик ТЗ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Головной исполнитель ОКР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Заказчик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  <w:tr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Другие согласующие организации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____________</w:t>
            </w:r>
          </w:p>
        </w:tc>
        <w:tc>
          <w:tcPr/>
          <w:p>
            <w:pPr>
              <w:pStyle w:val="Normal"/>
              <w:spacing w:after="10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 xml:space="preserve">[уточнить]</w:t>
            </w:r>
          </w:p>
        </w:tc>
      </w:tr>
    </w:tbl>
    <w:sectPr>
      <w:pgSz w:w="11906" w:h="16838"/>
      <w:pgMar w:top="1134" w:right="850" w:bottom="1134" w:left="1417"/>
      <w:headerReference xmlns:r="http://schemas.openxmlformats.org/officeDocument/2006/relationships" w:type="default" r:id="rId2"/>
      <w:footerReference xmlns:r="http://schemas.openxmlformats.org/officeDocument/2006/relationships"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— </w:t>
    </w:r>
    <w:fldSimple w:instr="PAGE"/>
    <w:r>
      <w:t> —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ТЗ «Развитие-ТСА»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