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 <Relationship Id="rId2" Type="http://schemas.openxmlformats.org/package/2006/relationships/metadata/core-properties" Target="docProps/core.xml"/>
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300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100"/>
        <w:gridCol w:w="3100"/>
        <w:gridCol w:w="3100"/>
      </w:tblGrid>
      <w:tr>
        <w:trPr/>
        <w:tc>
          <w:tcPr>
            <w:tcW w:w="31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СОГЛАСОВАНО</w:t>
              <w:br/>
              <w:t>Заказчик: [уточнить]</w:t>
              <w:br/>
              <w:t>Должность: [уточнить]</w:t>
              <w:br/>
              <w:t>____________ / [уточнить]</w:t>
              <w:br/>
              <w:t>«___» __________ 20__ г.</w:t>
            </w:r>
          </w:p>
        </w:tc>
        <w:tc>
          <w:tcPr>
            <w:tcW w:w="31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СОГЛАСОВАНО</w:t>
              <w:br/>
              <w:t>Исполнитель составной части ОКР: [организация-исполнитель]</w:t>
              <w:br/>
              <w:t>Должность: [уточнить]</w:t>
              <w:br/>
              <w:t>____________ / [уточнить]</w:t>
              <w:br/>
              <w:t>«___» __________ 20__ г.</w:t>
            </w:r>
          </w:p>
        </w:tc>
        <w:tc>
          <w:tcPr>
            <w:tcW w:w="31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УТВЕРЖДАЮ</w:t>
              <w:br/>
              <w:t>Головной исполнитель ОКР: [уточнить]</w:t>
              <w:br/>
              <w:t>Должность: [уточнить]</w:t>
              <w:br/>
              <w:t>____________ / [уточнить]</w:t>
              <w:br/>
              <w:t>«___» __________ 20__ г.</w:t>
            </w:r>
          </w:p>
        </w:tc>
      </w:tr>
    </w:tbl>
    <w:p>
      <w:pPr>
        <w:spacing w:before="0" w:after="800" w:line="276" w:lineRule="auto"/>
        <w:ind w:firstLine="709" w:left="0" w:right="0"/>
      </w:pPr>
      <w:r>
        <w:rPr/>
        <w:t/>
      </w:r>
    </w:p>
    <w:p>
      <w:pPr>
        <w:jc w:val="center"/>
        <w:spacing w:before="0" w:after="120" w:line="276" w:lineRule="auto"/>
      </w:pPr>
      <w:r>
        <w:rPr>
          <w:b/>
          <w:sz w:val="32"/>
          <w:szCs w:val="32"/>
        </w:rPr>
        <w:t>ТЕХНИЧЕСКОЕ ЗАДАНИЕ</w:t>
      </w:r>
    </w:p>
    <w:p>
      <w:pPr>
        <w:jc w:val="center"/>
        <w:spacing w:before="0" w:after="300" w:line="276" w:lineRule="auto"/>
      </w:pPr>
      <w:r>
        <w:rPr>
          <w:b/>
          <w:sz w:val="28"/>
          <w:szCs w:val="28"/>
        </w:rPr>
        <w:t>НА СОСТАВНУЮ ЧАСТЬ ОПЫТНО-КОНСТРУКТОРСКОЙ РАБОТЫ</w:t>
      </w:r>
    </w:p>
    <w:p>
      <w:pPr>
        <w:jc w:val="center"/>
        <w:spacing w:before="0" w:after="300" w:line="276" w:lineRule="auto"/>
      </w:pPr>
      <w:r>
        <w:rPr>
          <w:b/>
          <w:sz w:val="26"/>
          <w:szCs w:val="26"/>
        </w:rPr>
        <w:t>Разработка сменной интерфейсной субплаты 4×IEEE C37.94 и функционального модуля релейной защиты для универсального базового модуля AMC семейства ДММП</w:t>
      </w:r>
    </w:p>
    <w:p>
      <w:pPr>
        <w:jc w:val="center"/>
        <w:spacing w:before="0" w:after="240" w:line="276" w:lineRule="auto"/>
      </w:pPr>
      <w:r>
        <w:rPr>
          <w:b/>
          <w:sz w:val="26"/>
          <w:szCs w:val="26"/>
        </w:rPr>
        <w:t>Шифр ОКР «Развитие-ТСА»</w:t>
      </w:r>
    </w:p>
    <w:p>
      <w:pPr>
        <w:jc w:val="center"/>
        <w:spacing w:before="0" w:after="240" w:line="276" w:lineRule="auto"/>
      </w:pPr>
      <w:r>
        <w:rPr/>
        <w:t>Обозначение составной части изделия: [уточнить]</w:t>
      </w:r>
    </w:p>
    <w:p>
      <w:pPr>
        <w:jc w:val="center"/>
        <w:spacing w:before="0" w:after="240" w:line="276" w:lineRule="auto"/>
      </w:pPr>
      <w:r>
        <w:rPr/>
        <w:t>Регистрационный номер: [уточнить]</w:t>
      </w:r>
    </w:p>
    <w:p>
      <w:pPr>
        <w:jc w:val="center"/>
        <w:spacing w:before="0" w:after="700" w:line="276" w:lineRule="auto"/>
      </w:pPr>
      <w:r>
        <w:rPr>
          <w:i/>
        </w:rPr>
        <w:t>Проект</w:t>
      </w:r>
    </w:p>
    <w:p>
      <w:pPr>
        <w:jc w:val="center"/>
        <w:spacing w:before="0" w:after="40" w:line="276" w:lineRule="auto"/>
      </w:pPr>
      <w:r>
        <w:rPr/>
        <w:t>[место составления — уточнить]</w:t>
      </w:r>
    </w:p>
    <w:p>
      <w:pPr>
        <w:jc w:val="center"/>
        <w:spacing w:before="0" w:after="0" w:line="276" w:lineRule="auto"/>
      </w:pPr>
      <w:r>
        <w:rPr/>
        <w:t>20__</w:t>
      </w:r>
    </w:p>
    <w:p>
      <w:r>
        <w:br w:type="page"/>
      </w:r>
    </w:p>
    <w:p>
      <w:pPr>
        <w:pStyle w:val="Heading1"/>
        <w:keepNext/>
        <w:spacing w:before="240" w:after="120" w:line="276" w:lineRule="auto"/>
      </w:pPr>
      <w:r>
        <w:rPr>
          <w:b/>
        </w:rPr>
        <w:t>ЛИСТ СОГЛАСОВАНИЯ</w:t>
      </w:r>
    </w:p>
    <w:tbl>
      <w:tblPr>
        <w:tblW w:w="9200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600"/>
        <w:gridCol w:w="1800"/>
        <w:gridCol w:w="1800"/>
        <w:gridCol w:w="1500"/>
        <w:gridCol w:w="1500"/>
      </w:tblGrid>
      <w:tr>
        <w:trPr>
          <w:tblHeader/>
        </w:trPr>
        <w:tc>
          <w:tcPr>
            <w:tcW w:w="2600" w:type="dxa"/>
            <w:vAlign w:val="top"/>
            <w:shd w:fill="D9EAF7"/>
          </w:tcPr>
          <w:p>
            <w:pPr>
              <w:jc w:val="center"/>
              <w:spacing w:before="0" w:after="40" w:line="276" w:lineRule="auto"/>
            </w:pPr>
            <w:r>
              <w:rPr>
                <w:b/>
              </w:rPr>
              <w:t>Организация / подразделение</w:t>
            </w:r>
          </w:p>
        </w:tc>
        <w:tc>
          <w:tcPr>
            <w:tcW w:w="1800" w:type="dxa"/>
            <w:vAlign w:val="top"/>
            <w:shd w:fill="D9EAF7"/>
          </w:tcPr>
          <w:p>
            <w:pPr>
              <w:jc w:val="center"/>
              <w:spacing w:before="0" w:after="40" w:line="276" w:lineRule="auto"/>
            </w:pPr>
            <w:r>
              <w:rPr>
                <w:b/>
              </w:rPr>
              <w:t>Должность</w:t>
            </w:r>
          </w:p>
        </w:tc>
        <w:tc>
          <w:tcPr>
            <w:tcW w:w="1800" w:type="dxa"/>
            <w:vAlign w:val="top"/>
            <w:shd w:fill="D9EAF7"/>
          </w:tcPr>
          <w:p>
            <w:pPr>
              <w:jc w:val="center"/>
              <w:spacing w:before="0" w:after="40" w:line="276" w:lineRule="auto"/>
            </w:pPr>
            <w:r>
              <w:rPr>
                <w:b/>
              </w:rPr>
              <w:t>Ф. И. О.</w:t>
            </w:r>
          </w:p>
        </w:tc>
        <w:tc>
          <w:tcPr>
            <w:tcW w:w="1500" w:type="dxa"/>
            <w:vAlign w:val="top"/>
            <w:shd w:fill="D9EAF7"/>
          </w:tcPr>
          <w:p>
            <w:pPr>
              <w:jc w:val="center"/>
              <w:spacing w:before="0" w:after="40" w:line="276" w:lineRule="auto"/>
            </w:pPr>
            <w:r>
              <w:rPr>
                <w:b/>
              </w:rPr>
              <w:t>Подпись</w:t>
            </w:r>
          </w:p>
        </w:tc>
        <w:tc>
          <w:tcPr>
            <w:tcW w:w="1500" w:type="dxa"/>
            <w:vAlign w:val="top"/>
            <w:shd w:fill="D9EAF7"/>
          </w:tcPr>
          <w:p>
            <w:pPr>
              <w:jc w:val="center"/>
              <w:spacing w:before="0" w:after="40" w:line="276" w:lineRule="auto"/>
            </w:pPr>
            <w:r>
              <w:rPr>
                <w:b/>
              </w:rPr>
              <w:t>Дата</w:t>
            </w:r>
          </w:p>
        </w:tc>
      </w:tr>
      <w:tr>
        <w:trPr/>
        <w:tc>
          <w:tcPr>
            <w:tcW w:w="26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Заказчик: [уточнить]</w:t>
            </w:r>
          </w:p>
        </w:tc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[уточнить]</w:t>
            </w:r>
          </w:p>
        </w:tc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[уточнить]</w:t>
            </w:r>
          </w:p>
        </w:tc>
        <w:tc>
          <w:tcPr>
            <w:tcW w:w="1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____________</w:t>
            </w:r>
          </w:p>
        </w:tc>
        <w:tc>
          <w:tcPr>
            <w:tcW w:w="1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____________</w:t>
            </w:r>
          </w:p>
        </w:tc>
      </w:tr>
      <w:tr>
        <w:trPr/>
        <w:tc>
          <w:tcPr>
            <w:tcW w:w="26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Головной исполнитель ОКР: [уточнить]</w:t>
            </w:r>
          </w:p>
        </w:tc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[уточнить]</w:t>
            </w:r>
          </w:p>
        </w:tc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[уточнить]</w:t>
            </w:r>
          </w:p>
        </w:tc>
        <w:tc>
          <w:tcPr>
            <w:tcW w:w="1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____________</w:t>
            </w:r>
          </w:p>
        </w:tc>
        <w:tc>
          <w:tcPr>
            <w:tcW w:w="1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____________</w:t>
            </w:r>
          </w:p>
        </w:tc>
      </w:tr>
      <w:tr>
        <w:trPr/>
        <w:tc>
          <w:tcPr>
            <w:tcW w:w="26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Исполнитель СЧ ОКР: [организация-исполнитель]</w:t>
            </w:r>
          </w:p>
        </w:tc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[уточнить]</w:t>
            </w:r>
          </w:p>
        </w:tc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[уточнить]</w:t>
            </w:r>
          </w:p>
        </w:tc>
        <w:tc>
          <w:tcPr>
            <w:tcW w:w="1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____________</w:t>
            </w:r>
          </w:p>
        </w:tc>
        <w:tc>
          <w:tcPr>
            <w:tcW w:w="1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____________</w:t>
            </w:r>
          </w:p>
        </w:tc>
      </w:tr>
      <w:tr>
        <w:trPr/>
        <w:tc>
          <w:tcPr>
            <w:tcW w:w="26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Другие согласующие организации (при наличии): [уточнить]</w:t>
            </w:r>
          </w:p>
        </w:tc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[уточнить]</w:t>
            </w:r>
          </w:p>
        </w:tc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[уточнить]</w:t>
            </w:r>
          </w:p>
        </w:tc>
        <w:tc>
          <w:tcPr>
            <w:tcW w:w="1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____________</w:t>
            </w:r>
          </w:p>
        </w:tc>
        <w:tc>
          <w:tcPr>
            <w:tcW w:w="1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____________</w:t>
            </w:r>
          </w:p>
        </w:tc>
      </w:tr>
    </w:tbl>
    <w:p>
      <w:r>
        <w:br w:type="page"/>
      </w:r>
    </w:p>
    <w:p>
      <w:pPr>
        <w:pStyle w:val="Heading1"/>
        <w:keepNext/>
        <w:spacing w:before="240" w:after="120" w:line="276" w:lineRule="auto"/>
      </w:pPr>
      <w:r>
        <w:rPr>
          <w:b/>
        </w:rPr>
        <w:t>ПЕРЕЧЕНЬ ОБОЗНАЧЕНИЙ И СОКРАЩЕНИЙ</w:t>
      </w:r>
    </w:p>
    <w:tbl>
      <w:tblPr>
        <w:tblW w:w="9300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7500"/>
      </w:tblGrid>
      <w:tr>
        <w:trPr>
          <w:tblHeader/>
        </w:trPr>
        <w:tc>
          <w:tcPr>
            <w:tcW w:w="1800" w:type="dxa"/>
            <w:vAlign w:val="top"/>
            <w:shd w:fill="D9EAF7"/>
          </w:tcPr>
          <w:p>
            <w:pPr>
              <w:jc w:val="center"/>
              <w:spacing w:before="0" w:after="40" w:line="276" w:lineRule="auto"/>
            </w:pPr>
            <w:r>
              <w:rPr>
                <w:b/>
              </w:rPr>
              <w:t>Обозначение</w:t>
            </w:r>
          </w:p>
        </w:tc>
        <w:tc>
          <w:tcPr>
            <w:tcW w:w="7500" w:type="dxa"/>
            <w:vAlign w:val="top"/>
            <w:shd w:fill="D9EAF7"/>
          </w:tcPr>
          <w:p>
            <w:pPr>
              <w:jc w:val="center"/>
              <w:spacing w:before="0" w:after="40" w:line="276" w:lineRule="auto"/>
            </w:pPr>
            <w:r>
              <w:rPr>
                <w:b/>
              </w:rPr>
              <w:t>Содержание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AMC</w:t>
            </w:r>
          </w:p>
        </w:tc>
        <w:tc>
          <w:tcPr>
            <w:tcW w:w="7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формат универсального базового модуля по PICMG AMC.0 R2.0; изделие устанавливается на Carrier платформы ДММП.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B2B</w:t>
            </w:r>
          </w:p>
        </w:tc>
        <w:tc>
          <w:tcPr>
            <w:tcW w:w="7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межплатное соединение субплаты с базовой платой.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Board ID</w:t>
            </w:r>
          </w:p>
        </w:tc>
        <w:tc>
          <w:tcPr>
            <w:tcW w:w="7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идентификатор субплаты в EEPROM; для разрабатываемой субплаты — 0x05.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CDR</w:t>
            </w:r>
          </w:p>
        </w:tc>
        <w:tc>
          <w:tcPr>
            <w:tcW w:w="7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функция восстановления тактового сигнала и данных в оптическом трансивере.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DDM/DOM</w:t>
            </w:r>
          </w:p>
        </w:tc>
        <w:tc>
          <w:tcPr>
            <w:tcW w:w="7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функции цифрового контроля параметров оптического трансивера согласно SFF-8472.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ДЗЛ</w:t>
            </w:r>
          </w:p>
        </w:tc>
        <w:tc>
          <w:tcPr>
            <w:tcW w:w="7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дифференциальная защита линии.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ДММП</w:t>
            </w:r>
          </w:p>
        </w:tc>
        <w:tc>
          <w:tcPr>
            <w:tcW w:w="7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семейство и платформа, в составе которых применяется изделие; расшифровка наименования — [уточнить].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ДФЗ</w:t>
            </w:r>
          </w:p>
        </w:tc>
        <w:tc>
          <w:tcPr>
            <w:tcW w:w="7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дифференциально-фазная защита.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КД</w:t>
            </w:r>
          </w:p>
        </w:tc>
        <w:tc>
          <w:tcPr>
            <w:tcW w:w="7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конструкторская документация.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LC/SFP</w:t>
            </w:r>
          </w:p>
        </w:tc>
        <w:tc>
          <w:tcPr>
            <w:tcW w:w="7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альтернативные исполнения оптического интерфейса; окончательное исполнение — [уточнить].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LOF</w:t>
            </w:r>
          </w:p>
        </w:tc>
        <w:tc>
          <w:tcPr>
            <w:tcW w:w="7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состояние потери кадровой синхронизации.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LOS</w:t>
            </w:r>
          </w:p>
        </w:tc>
        <w:tc>
          <w:tcPr>
            <w:tcW w:w="7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состояние потери оптического сигнала.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MIB</w:t>
            </w:r>
          </w:p>
        </w:tc>
        <w:tc>
          <w:tcPr>
            <w:tcW w:w="7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информационная база управления для РМО.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MMC</w:t>
            </w:r>
          </w:p>
        </w:tc>
        <w:tc>
          <w:tcPr>
            <w:tcW w:w="7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средство управления базовой платы, предоставляемое субплате.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MTBF</w:t>
            </w:r>
          </w:p>
        </w:tc>
        <w:tc>
          <w:tcPr>
            <w:tcW w:w="7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показатель средней наработки между отказами.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ОКР</w:t>
            </w:r>
          </w:p>
        </w:tc>
        <w:tc>
          <w:tcPr>
            <w:tcW w:w="7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опытно-конструкторская работа.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ОТК</w:t>
            </w:r>
          </w:p>
        </w:tc>
        <w:tc>
          <w:tcPr>
            <w:tcW w:w="7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отдел технического контроля.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П2</w:t>
            </w:r>
          </w:p>
        </w:tc>
        <w:tc>
          <w:tcPr>
            <w:tcW w:w="7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режим резервирования Hitless 1+1 двумя идентичными копиями по независимым трактам.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ПЛИС</w:t>
            </w:r>
          </w:p>
        </w:tc>
        <w:tc>
          <w:tcPr>
            <w:tcW w:w="7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программируемая логика, в которой реализуется функциональный модуль базовой платы.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ПМИ</w:t>
            </w:r>
          </w:p>
        </w:tc>
        <w:tc>
          <w:tcPr>
            <w:tcW w:w="7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программа и методика испытаний.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РЗА</w:t>
            </w:r>
          </w:p>
        </w:tc>
        <w:tc>
          <w:tcPr>
            <w:tcW w:w="7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релейная защита и автоматика.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РКД</w:t>
            </w:r>
          </w:p>
        </w:tc>
        <w:tc>
          <w:tcPr>
            <w:tcW w:w="7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рабочая конструкторская документация.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РМО</w:t>
            </w:r>
          </w:p>
        </w:tc>
        <w:tc>
          <w:tcPr>
            <w:tcW w:w="7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средство мониторинга и управления на C++/Qt; точное наименование — [уточнить].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СЧ</w:t>
            </w:r>
          </w:p>
        </w:tc>
        <w:tc>
          <w:tcPr>
            <w:tcW w:w="7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составная часть.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ТЗ</w:t>
            </w:r>
          </w:p>
        </w:tc>
        <w:tc>
          <w:tcPr>
            <w:tcW w:w="7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техническое задание.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ЭКБ</w:t>
            </w:r>
          </w:p>
        </w:tc>
        <w:tc>
          <w:tcPr>
            <w:tcW w:w="7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электронная компонентная база.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EEPROM</w:t>
            </w:r>
          </w:p>
        </w:tc>
        <w:tc>
          <w:tcPr>
            <w:tcW w:w="7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энергонезависимая память субплаты для хранения Board ID.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PDV</w:t>
            </w:r>
          </w:p>
        </w:tc>
        <w:tc>
          <w:tcPr>
            <w:tcW w:w="7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изменение задержки пакетов, компенсируемое независимым джиттер-буфером.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PRBS</w:t>
            </w:r>
          </w:p>
        </w:tc>
        <w:tc>
          <w:tcPr>
            <w:tcW w:w="7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псевдослучайная двоичная последовательность для генератора/анализатора.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PTPv2</w:t>
            </w:r>
          </w:p>
        </w:tc>
        <w:tc>
          <w:tcPr>
            <w:tcW w:w="7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режим тактирования по протоколу PTP версии 2.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RX_CLK</w:t>
            </w:r>
          </w:p>
        </w:tc>
        <w:tc>
          <w:tcPr>
            <w:tcW w:w="7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выход восстановленной тактовой частоты 2048 кГц выбранного порта.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SoC FPGA</w:t>
            </w:r>
          </w:p>
        </w:tc>
        <w:tc>
          <w:tcPr>
            <w:tcW w:w="7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ПЛИС с процессорным ядром, допускаемым для реализации L3/UDP/IP при необходимости.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TCLK</w:t>
            </w:r>
          </w:p>
        </w:tc>
        <w:tc>
          <w:tcPr>
            <w:tcW w:w="75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источник тактирования частотой 19,44 МГц.</w:t>
            </w:r>
          </w:p>
        </w:tc>
      </w:tr>
    </w:tbl>
    <w:p>
      <w:r>
        <w:br w:type="page"/>
      </w:r>
    </w:p>
    <w:p>
      <w:pPr>
        <w:pStyle w:val="Heading1"/>
        <w:keepNext/>
        <w:spacing w:before="240" w:after="120" w:line="276" w:lineRule="auto"/>
      </w:pPr>
      <w:r>
        <w:rPr>
          <w:b/>
        </w:rPr>
        <w:t>ПЕРЕЧЕНЬ ПРИМЕНИМЫХ НОРМАТИВНЫХ И СПРАВОЧНЫХ ДОКУМЕНТОВ</w:t>
      </w:r>
    </w:p>
    <w:tbl>
      <w:tblPr>
        <w:tblW w:w="9300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00"/>
        <w:gridCol w:w="2800"/>
        <w:gridCol w:w="5800"/>
      </w:tblGrid>
      <w:tr>
        <w:trPr>
          <w:tblHeader/>
        </w:trPr>
        <w:tc>
          <w:tcPr>
            <w:tcW w:w="700" w:type="dxa"/>
            <w:vAlign w:val="top"/>
            <w:shd w:fill="D9EAF7"/>
          </w:tcPr>
          <w:p>
            <w:pPr>
              <w:jc w:val="center"/>
              <w:spacing w:before="0" w:after="40" w:line="276" w:lineRule="auto"/>
            </w:pPr>
            <w:r>
              <w:rPr>
                <w:b/>
              </w:rPr>
              <w:t>№</w:t>
            </w:r>
          </w:p>
        </w:tc>
        <w:tc>
          <w:tcPr>
            <w:tcW w:w="2800" w:type="dxa"/>
            <w:vAlign w:val="top"/>
            <w:shd w:fill="D9EAF7"/>
          </w:tcPr>
          <w:p>
            <w:pPr>
              <w:jc w:val="center"/>
              <w:spacing w:before="0" w:after="40" w:line="276" w:lineRule="auto"/>
            </w:pPr>
            <w:r>
              <w:rPr>
                <w:b/>
              </w:rPr>
              <w:t>Обозначение документа</w:t>
            </w:r>
          </w:p>
        </w:tc>
        <w:tc>
          <w:tcPr>
            <w:tcW w:w="5800" w:type="dxa"/>
            <w:vAlign w:val="top"/>
            <w:shd w:fill="D9EAF7"/>
          </w:tcPr>
          <w:p>
            <w:pPr>
              <w:jc w:val="center"/>
              <w:spacing w:before="0" w:after="40" w:line="276" w:lineRule="auto"/>
            </w:pPr>
            <w:r>
              <w:rPr>
                <w:b/>
              </w:rPr>
              <w:t>Статус применения</w:t>
            </w:r>
          </w:p>
        </w:tc>
      </w:tr>
      <w:tr>
        <w:trPr/>
        <w:tc>
          <w:tcPr>
            <w:tcW w:w="7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1</w:t>
            </w:r>
          </w:p>
        </w:tc>
        <w:tc>
          <w:tcPr>
            <w:tcW w:w="2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ГОСТ 15.016-2016</w:t>
            </w:r>
          </w:p>
        </w:tc>
        <w:tc>
          <w:tcPr>
            <w:tcW w:w="5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Требования к построению и оформлению настоящего ТЗ в применимой части</w:t>
            </w:r>
          </w:p>
        </w:tc>
      </w:tr>
      <w:tr>
        <w:trPr/>
        <w:tc>
          <w:tcPr>
            <w:tcW w:w="7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2</w:t>
            </w:r>
          </w:p>
        </w:tc>
        <w:tc>
          <w:tcPr>
            <w:tcW w:w="2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IEEE C37.94-2017</w:t>
            </w:r>
          </w:p>
        </w:tc>
        <w:tc>
          <w:tcPr>
            <w:tcW w:w="5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Применяется к изделию в части требований настоящего ТЗ</w:t>
            </w:r>
          </w:p>
        </w:tc>
      </w:tr>
      <w:tr>
        <w:trPr/>
        <w:tc>
          <w:tcPr>
            <w:tcW w:w="7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3</w:t>
            </w:r>
          </w:p>
        </w:tc>
        <w:tc>
          <w:tcPr>
            <w:tcW w:w="2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IEEE C37.94-2002</w:t>
            </w:r>
          </w:p>
        </w:tc>
        <w:tc>
          <w:tcPr>
            <w:tcW w:w="5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Применяется к изделию в части требований настоящего ТЗ</w:t>
            </w:r>
          </w:p>
        </w:tc>
      </w:tr>
      <w:tr>
        <w:trPr/>
        <w:tc>
          <w:tcPr>
            <w:tcW w:w="7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4</w:t>
            </w:r>
          </w:p>
        </w:tc>
        <w:tc>
          <w:tcPr>
            <w:tcW w:w="2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ITU-T G.823</w:t>
            </w:r>
          </w:p>
        </w:tc>
        <w:tc>
          <w:tcPr>
            <w:tcW w:w="5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Применяется к изделию в части требований настоящего ТЗ</w:t>
            </w:r>
          </w:p>
        </w:tc>
      </w:tr>
      <w:tr>
        <w:trPr/>
        <w:tc>
          <w:tcPr>
            <w:tcW w:w="7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5</w:t>
            </w:r>
          </w:p>
        </w:tc>
        <w:tc>
          <w:tcPr>
            <w:tcW w:w="2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SFF-8472</w:t>
            </w:r>
          </w:p>
        </w:tc>
        <w:tc>
          <w:tcPr>
            <w:tcW w:w="5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Применяется к изделию в части требований настоящего ТЗ</w:t>
            </w:r>
          </w:p>
        </w:tc>
      </w:tr>
      <w:tr>
        <w:trPr/>
        <w:tc>
          <w:tcPr>
            <w:tcW w:w="7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6</w:t>
            </w:r>
          </w:p>
        </w:tc>
        <w:tc>
          <w:tcPr>
            <w:tcW w:w="2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IEEE 802.1p/Q</w:t>
            </w:r>
          </w:p>
        </w:tc>
        <w:tc>
          <w:tcPr>
            <w:tcW w:w="5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Применяется к изделию в части требований настоящего ТЗ</w:t>
            </w:r>
          </w:p>
        </w:tc>
      </w:tr>
      <w:tr>
        <w:trPr/>
        <w:tc>
          <w:tcPr>
            <w:tcW w:w="7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7</w:t>
            </w:r>
          </w:p>
        </w:tc>
        <w:tc>
          <w:tcPr>
            <w:tcW w:w="2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PICMG AMC.0 R2.0</w:t>
            </w:r>
          </w:p>
        </w:tc>
        <w:tc>
          <w:tcPr>
            <w:tcW w:w="5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Применяется к изделию в части требований настоящего ТЗ</w:t>
            </w:r>
          </w:p>
        </w:tc>
      </w:tr>
      <w:tr>
        <w:trPr/>
        <w:tc>
          <w:tcPr>
            <w:tcW w:w="7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8</w:t>
            </w:r>
          </w:p>
        </w:tc>
        <w:tc>
          <w:tcPr>
            <w:tcW w:w="2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ГОСТ РВ 20.39.304-98</w:t>
            </w:r>
          </w:p>
        </w:tc>
        <w:tc>
          <w:tcPr>
            <w:tcW w:w="5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Применяется к изделию в части требований настоящего ТЗ</w:t>
            </w:r>
          </w:p>
        </w:tc>
      </w:tr>
      <w:tr>
        <w:trPr/>
        <w:tc>
          <w:tcPr>
            <w:tcW w:w="7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9</w:t>
            </w:r>
          </w:p>
        </w:tc>
        <w:tc>
          <w:tcPr>
            <w:tcW w:w="2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ГОСТ В 25803-91</w:t>
            </w:r>
          </w:p>
        </w:tc>
        <w:tc>
          <w:tcPr>
            <w:tcW w:w="5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Применяется к изделию в части требований настоящего ТЗ</w:t>
            </w:r>
          </w:p>
        </w:tc>
      </w:tr>
      <w:tr>
        <w:trPr/>
        <w:tc>
          <w:tcPr>
            <w:tcW w:w="7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10</w:t>
            </w:r>
          </w:p>
        </w:tc>
        <w:tc>
          <w:tcPr>
            <w:tcW w:w="2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ГОСТ 2.114-2016</w:t>
            </w:r>
          </w:p>
        </w:tc>
        <w:tc>
          <w:tcPr>
            <w:tcW w:w="5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Применяется к изделию в части требований настоящего ТЗ</w:t>
            </w:r>
          </w:p>
        </w:tc>
      </w:tr>
      <w:tr>
        <w:trPr/>
        <w:tc>
          <w:tcPr>
            <w:tcW w:w="7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11</w:t>
            </w:r>
          </w:p>
        </w:tc>
        <w:tc>
          <w:tcPr>
            <w:tcW w:w="2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ГОСТ РВ 15.201-2003</w:t>
            </w:r>
          </w:p>
        </w:tc>
        <w:tc>
          <w:tcPr>
            <w:tcW w:w="5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Применяется к изделию в части требований настоящего ТЗ</w:t>
            </w:r>
          </w:p>
        </w:tc>
      </w:tr>
      <w:tr>
        <w:trPr/>
        <w:tc>
          <w:tcPr>
            <w:tcW w:w="7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12</w:t>
            </w:r>
          </w:p>
        </w:tc>
        <w:tc>
          <w:tcPr>
            <w:tcW w:w="2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ГОСТ 15150</w:t>
            </w:r>
          </w:p>
        </w:tc>
        <w:tc>
          <w:tcPr>
            <w:tcW w:w="58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Применяется к изделию в части требований настоящего ТЗ</w:t>
            </w:r>
          </w:p>
        </w:tc>
      </w:tr>
    </w:tbl>
    <w:p>
      <w:pPr>
        <w:spacing w:before="120" w:after="120" w:line="276" w:lineRule="auto"/>
      </w:pPr>
      <w:r>
        <w:rPr>
          <w:i/>
        </w:rPr>
        <w:t>Примечание — Наименования документов, кроме приведённого в исходном нормативном документе ГОСТ 15.016-2016, в исходных данных не заданы; во избежание неподтверждённого расширения они приведены по обозначениям. Актуальность и применимость редакций при выполнении ОКР подлежат уточнению.</w:t>
      </w:r>
    </w:p>
    <w:p>
      <w:r>
        <w:br w:type="page"/>
      </w:r>
    </w:p>
    <w:p>
      <w:pPr>
        <w:pStyle w:val="Heading1"/>
        <w:keepNext/>
        <w:spacing w:before="240" w:after="120" w:line="276" w:lineRule="auto"/>
      </w:pPr>
      <w:r>
        <w:rPr>
          <w:b/>
        </w:rPr>
        <w:t>1 Наименование, шифр, основание, исполнители и сроки ОКР</w:t>
      </w:r>
    </w:p>
    <w:p>
      <w:pPr>
        <w:spacing w:before="0" w:after="120" w:line="276" w:lineRule="auto"/>
        <w:ind w:firstLine="709" w:left="0" w:right="0"/>
      </w:pPr>
      <w:r>
        <w:rPr/>
        <w:t>1.1 Наименование СЧ ОКР: разработка сменной интерфейсной субплаты 4×IEEE C37.94 и функционального модуля релейной защиты для универсального базового модуля AMC семейства ДММП.</w:t>
      </w:r>
    </w:p>
    <w:p>
      <w:pPr>
        <w:spacing w:before="0" w:after="120" w:line="276" w:lineRule="auto"/>
        <w:ind w:firstLine="709" w:left="0" w:right="0"/>
      </w:pPr>
      <w:r>
        <w:rPr/>
        <w:t>1.2 Шифр ОКР — «Развитие-ТСА». Дополнительный шифр СЧ ОКР — [уточнить].</w:t>
      </w:r>
    </w:p>
    <w:p>
      <w:pPr>
        <w:spacing w:before="0" w:after="120" w:line="276" w:lineRule="auto"/>
        <w:ind w:firstLine="709" w:left="0" w:right="0"/>
      </w:pPr>
      <w:r>
        <w:rPr/>
        <w:t>1.3 Основание для выполнения — приказ об открытии инициативной ОКР № [уточнить] от [уточнить].</w:t>
      </w:r>
    </w:p>
    <w:p>
      <w:pPr>
        <w:spacing w:before="0" w:after="120" w:line="276" w:lineRule="auto"/>
        <w:ind w:firstLine="709" w:left="0" w:right="0"/>
      </w:pPr>
      <w:r>
        <w:rPr/>
        <w:t>1.4 Исполнитель СЧ ОКР — [организация-исполнитель]. Головной исполнитель ОКР и заказчик — [уточнить].</w:t>
      </w:r>
    </w:p>
    <w:p>
      <w:pPr>
        <w:spacing w:before="0" w:after="120" w:line="276" w:lineRule="auto"/>
        <w:ind w:firstLine="709" w:left="0" w:right="0"/>
      </w:pPr>
      <w:r>
        <w:rPr/>
        <w:t>1.5 Сроки выполнения СЧ ОКР должны быть связаны с утверждённым планом-графиком разработки РКД и программной документации, изготовления образцов и проведения испытаний. Календарные даты и утверждённый план-график — [уточнить].</w:t>
      </w:r>
    </w:p>
    <w:p>
      <w:pPr>
        <w:spacing w:before="0" w:after="120" w:line="276" w:lineRule="auto"/>
        <w:ind w:firstLine="709" w:left="0" w:right="0"/>
      </w:pPr>
      <w:r>
        <w:rPr/>
        <w:t>1.6 Проверка реквизитов раздела выполняется инспекцией приказа и утверждённого план-графика: должны совпадать наименование, шифр, основание, исполнители и календарные сроки. До предоставления документов проверка реквизитов и сроков не завершена.</w:t>
      </w:r>
    </w:p>
    <w:p>
      <w:pPr>
        <w:pStyle w:val="Heading1"/>
        <w:keepNext/>
        <w:pageBreakBefore/>
        <w:spacing w:before="240" w:after="120" w:line="276" w:lineRule="auto"/>
      </w:pPr>
      <w:r>
        <w:rPr>
          <w:b/>
        </w:rPr>
        <w:t>2 Цель выполнения, наименование, назначение и область применения изделия</w:t>
      </w:r>
    </w:p>
    <w:p>
      <w:pPr>
        <w:spacing w:before="0" w:after="120" w:line="276" w:lineRule="auto"/>
        <w:ind w:firstLine="709" w:left="0" w:right="0"/>
      </w:pPr>
      <w:r>
        <w:rPr/>
        <w:t>2.1 Целью выполнения СЧ ОКР является создание сменной интерфейсной субплаты 4×IEEE C37.94 и автоматически активируемого по Board ID функционального модуля релейной защиты для обеспечения оптических каналов терминалов РЗА, ДЗЛ и ДФЗ, противоаварийной автоматики и регистраторов аварийных событий подстанций ДММП.</w:t>
      </w:r>
    </w:p>
    <w:p>
      <w:pPr>
        <w:spacing w:before="0" w:after="120" w:line="276" w:lineRule="auto"/>
        <w:ind w:firstLine="709" w:left="0" w:right="0"/>
      </w:pPr>
      <w:r>
        <w:rPr/>
        <w:t>2.2 Изделие должно обеспечивать прозрачную передачу N×64 кбит/с с фиксированной низкой задержкой, симметрией, резервированием П2 и безопасным аварийным поведением. Числовое значение абсолютной задержки — [уточнить].</w:t>
      </w:r>
    </w:p>
    <w:p>
      <w:pPr>
        <w:spacing w:before="0" w:after="120" w:line="276" w:lineRule="auto"/>
        <w:ind w:firstLine="709" w:left="0" w:right="0"/>
      </w:pPr>
      <w:r>
        <w:rPr/>
        <w:t>2.3 Аппаратная часть включает субплату, оптические интерфейсы, защитные цепи, трансиверы и EEPROM Board ID.</w:t>
      </w:r>
    </w:p>
    <w:p>
      <w:pPr>
        <w:spacing w:before="0" w:after="120" w:line="276" w:lineRule="auto"/>
        <w:ind w:firstLine="709" w:left="0" w:right="0"/>
      </w:pPr>
      <w:r>
        <w:rPr/>
        <w:t>2.4 Логическая часть представляет собой функциональный модуль ПЛИС базовой платы. Базовая плата должна автоматически загружать соответствующий bitstream из Flash по Board ID субплаты.</w:t>
      </w:r>
    </w:p>
    <w:p>
      <w:pPr>
        <w:spacing w:before="0" w:after="120" w:line="276" w:lineRule="auto"/>
        <w:ind w:firstLine="709" w:left="0" w:right="0"/>
      </w:pPr>
      <w:r>
        <w:rPr/>
        <w:t>2.5 AMC с установленной субплатой предназначен для установки на Carrier платформы ДММП.</w:t>
      </w:r>
    </w:p>
    <w:p>
      <w:pPr>
        <w:spacing w:before="0" w:after="120" w:line="276" w:lineRule="auto"/>
        <w:ind w:firstLine="709" w:left="0" w:right="0"/>
      </w:pPr>
      <w:r>
        <w:rPr/>
        <w:t>2.6 Соответствие назначению проверяют демонстрацией установки AMC на Carrier платформы ДММП и тестом прозрачной передачи пользовательских битов во всех заданных значениях N. Номенклатура терминалов и регистраторов для проверки — [уточнить].</w:t>
      </w:r>
    </w:p>
    <w:p>
      <w:pPr>
        <w:pStyle w:val="Heading1"/>
        <w:keepNext/>
        <w:pageBreakBefore/>
        <w:spacing w:before="240" w:after="120" w:line="276" w:lineRule="auto"/>
      </w:pPr>
      <w:r>
        <w:rPr>
          <w:b/>
        </w:rPr>
        <w:t>3 Технические требования к изделию</w:t>
      </w:r>
    </w:p>
    <w:p>
      <w:pPr>
        <w:pStyle w:val="Heading2"/>
        <w:keepNext/>
        <w:spacing w:before="180" w:after="120" w:line="276" w:lineRule="auto"/>
      </w:pPr>
      <w:r>
        <w:rPr>
          <w:b/>
        </w:rPr>
        <w:t>3.1 Архитектура и оптические интерфейсы</w:t>
      </w:r>
    </w:p>
    <w:p>
      <w:pPr>
        <w:spacing w:before="0" w:after="120" w:line="276" w:lineRule="auto"/>
        <w:ind w:firstLine="709" w:left="0" w:right="0"/>
      </w:pPr>
      <w:r>
        <w:rPr/>
        <w:t>3.1.1 Субплата должна иметь четыре независимых оптических порта LC/SFP, трансиверы 850/1310 нм с CDR, защитные цепи, DDM/DOM, EEPROM с Board ID 0x05 и индикацию. Исполнение LC либо SFP является альтернативой; окончательное исполнение — [уточнить].</w:t>
      </w:r>
    </w:p>
    <w:p>
      <w:pPr>
        <w:spacing w:before="0" w:after="120" w:line="276" w:lineRule="auto"/>
        <w:ind w:firstLine="709" w:left="0" w:right="0"/>
      </w:pPr>
      <w:r>
        <w:rPr/>
        <w:t>3.1.2 Связь субплаты с базовой платой должна осуществляться через B2B. Базовая плата должна предоставлять напряжения +12 В и +3,3 В, MMC и тактирование, а также автоматически загружать bitstream из Flash по Board ID 0x05.</w:t>
      </w:r>
    </w:p>
    <w:p>
      <w:pPr>
        <w:spacing w:before="0" w:after="120" w:line="276" w:lineRule="auto"/>
        <w:ind w:firstLine="709" w:left="0" w:right="0"/>
      </w:pPr>
      <w:r>
        <w:rPr/>
        <w:t>3.1.3 Для каждого из четырёх портов должны быть предусмотрены экранированная корзина SFP либо дуплексный LC и отдельные волокна TX и RX.</w:t>
      </w:r>
    </w:p>
    <w:p>
      <w:pPr>
        <w:spacing w:before="0" w:after="120" w:line="276" w:lineRule="auto"/>
        <w:ind w:firstLine="709" w:left="0" w:right="0"/>
      </w:pPr>
      <w:r>
        <w:rPr/>
        <w:t>3.1.4 Для варианта 850 нм должны применяться многомодовые волокна 50/125 мкм или 62,5/125 мкм с дальностью до 2 км. Для варианта 1310 нм должны применяться одномодовые волокна 9/125 мкм с дальностью от 20 до 40 км.</w:t>
      </w:r>
    </w:p>
    <w:p>
      <w:pPr>
        <w:spacing w:before="0" w:after="120" w:line="276" w:lineRule="auto"/>
        <w:ind w:firstLine="709" w:left="0" w:right="0"/>
      </w:pPr>
      <w:r>
        <w:rPr/>
        <w:t>3.1.5 Каждый порт должен иметь линии TX_DISABLE, TX_FAULT и RX_LOS.</w:t>
      </w:r>
    </w:p>
    <w:p>
      <w:pPr>
        <w:spacing w:before="0" w:after="120" w:line="276" w:lineRule="auto"/>
        <w:ind w:firstLine="709" w:left="0" w:right="0"/>
      </w:pPr>
      <w:r>
        <w:rPr/>
        <w:t>3.1.6 DDM/DOM должен опрашиваться по I2C согласно SFF-8472. Должны контролироваться мощность TX и RX, температура и ток лазера; телеметрия должна передаваться в РМО.</w:t>
      </w:r>
    </w:p>
    <w:p>
      <w:pPr>
        <w:spacing w:before="0" w:after="120" w:line="276" w:lineRule="auto"/>
        <w:ind w:firstLine="709" w:left="0" w:right="0"/>
      </w:pPr>
      <w:r>
        <w:rPr/>
        <w:t>3.1.7 Каждый порт независимо должен поддерживать N = 1…12 каналов по 64 кбит/с; полезная скорость должна составлять 64–768 кбит/с, кадровый поток — 2048 кбит/с.</w:t>
      </w:r>
    </w:p>
    <w:p>
      <w:pPr>
        <w:spacing w:before="0" w:after="120" w:line="276" w:lineRule="auto"/>
        <w:ind w:firstLine="709" w:left="0" w:right="0"/>
      </w:pPr>
      <w:r>
        <w:rPr/>
        <w:t>3.1.8 Изделие должно соответствовать IEEE C37.94-2017 и обеспечивать совместимость с IEEE C37.94-2002 без изменения или инверсии пользовательских битов.</w:t>
      </w:r>
    </w:p>
    <w:p>
      <w:pPr>
        <w:pStyle w:val="Heading2"/>
        <w:keepNext/>
        <w:spacing w:before="180" w:after="120" w:line="276" w:lineRule="auto"/>
      </w:pPr>
      <w:r>
        <w:rPr>
          <w:b/>
        </w:rPr>
        <w:t>3.2 Пакетная передача, резервирование и безопасные состояния</w:t>
      </w:r>
    </w:p>
    <w:p>
      <w:pPr>
        <w:spacing w:before="0" w:after="120" w:line="276" w:lineRule="auto"/>
        <w:ind w:firstLine="709" w:left="0" w:right="0"/>
      </w:pPr>
      <w:r>
        <w:rPr/>
        <w:t>3.2.1 C37.94-over-Packet должен использовать Ethernet L2, фиксированный период пакетизации, Fabric 10GbE и Strict Priority QoS по IEEE 802.1p/Q.</w:t>
      </w:r>
    </w:p>
    <w:p>
      <w:pPr>
        <w:spacing w:before="0" w:after="120" w:line="276" w:lineRule="auto"/>
        <w:ind w:firstLine="709" w:left="0" w:right="0"/>
      </w:pPr>
      <w:r>
        <w:rPr/>
        <w:t>3.2.2 L3/UDP/IP допускается применять при необходимости с процессорным ядром SoC FPGA либо со статической аппаратной подстановкой заголовка. Необходимость применения L3/UDP/IP и выбор одной из двух реализаций — [уточнить].</w:t>
      </w:r>
    </w:p>
    <w:p>
      <w:pPr>
        <w:spacing w:before="0" w:after="120" w:line="276" w:lineRule="auto"/>
        <w:ind w:firstLine="709" w:left="0" w:right="0"/>
      </w:pPr>
      <w:r>
        <w:rPr/>
        <w:t>3.2.3 Задержка должна быть фиксированной и детерминированной. Асимметрия прямого и обратного направлений должна быть не более ±10 мкс во всём диапазоне рабочих температур и сетевой нагрузки. Значение абсолютной задержки и диапазон сетевой нагрузки для проверки — [уточнить].</w:t>
      </w:r>
    </w:p>
    <w:p>
      <w:pPr>
        <w:spacing w:before="0" w:after="120" w:line="276" w:lineRule="auto"/>
        <w:ind w:firstLine="709" w:left="0" w:right="0"/>
      </w:pPr>
      <w:r>
        <w:rPr/>
        <w:t>3.2.4 Независимый джиттер-буфер каждого канала должен компенсировать PDV без выпадения кадров.</w:t>
      </w:r>
    </w:p>
    <w:p>
      <w:pPr>
        <w:spacing w:before="0" w:after="120" w:line="276" w:lineRule="auto"/>
        <w:ind w:firstLine="709" w:left="0" w:right="0"/>
      </w:pPr>
      <w:r>
        <w:rPr/>
        <w:t>3.2.5 Ретрансляция потерянных пакетов запрещена. Единичный пропуск должен фиксироваться как ошибка и обозначаться Yellow Alarm / LOF.</w:t>
      </w:r>
    </w:p>
    <w:p>
      <w:pPr>
        <w:spacing w:before="0" w:after="120" w:line="276" w:lineRule="auto"/>
        <w:ind w:firstLine="709" w:left="0" w:right="0"/>
      </w:pPr>
      <w:r>
        <w:rPr/>
        <w:t>3.2.6 Превышение настраиваемого порога последовательных потерь должно вызывать Laser Off. Значение порога последовательных потерь — [уточнить].</w:t>
      </w:r>
    </w:p>
    <w:p>
      <w:pPr>
        <w:spacing w:before="0" w:after="120" w:line="276" w:lineRule="auto"/>
        <w:ind w:firstLine="709" w:left="0" w:right="0"/>
      </w:pPr>
      <w:r>
        <w:rPr/>
        <w:t>3.2.7 В режиме П2 (Hitless 1+1) две идентичные копии должны передаваться по независимым трактам; должна выполняться поштучная дедупликация, а отказ одного пути не должен приводить к потере битов.</w:t>
      </w:r>
    </w:p>
    <w:p>
      <w:pPr>
        <w:spacing w:before="0" w:after="120" w:line="276" w:lineRule="auto"/>
        <w:ind w:firstLine="709" w:left="0" w:right="0"/>
      </w:pPr>
      <w:r>
        <w:rPr/>
        <w:t>3.2.8 При LOS, LOF либо потере сетевого тракта изделие должно формировать Yellow Alarm или немедленно переходить в Laser Off. Условия выбора безопасного состояния, в том числе при сохранении второго пути П2, — [уточнить].</w:t>
      </w:r>
    </w:p>
    <w:p>
      <w:pPr>
        <w:spacing w:before="0" w:after="120" w:line="276" w:lineRule="auto"/>
        <w:ind w:firstLine="709" w:left="0" w:right="0"/>
      </w:pPr>
      <w:r>
        <w:rPr/>
        <w:t>3.2.9 В аварийных режимах запрещена выдача недостоверных, случайных или повторно воспроизведённых устаревших данных РЗА.</w:t>
      </w:r>
    </w:p>
    <w:p>
      <w:pPr>
        <w:pStyle w:val="Heading2"/>
        <w:keepNext/>
        <w:spacing w:before="180" w:after="120" w:line="276" w:lineRule="auto"/>
      </w:pPr>
      <w:r>
        <w:rPr>
          <w:b/>
        </w:rPr>
        <w:t>3.3 Тактирование, диагностика и конструкция</w:t>
      </w:r>
    </w:p>
    <w:p>
      <w:pPr>
        <w:spacing w:before="0" w:after="120" w:line="276" w:lineRule="auto"/>
        <w:ind w:firstLine="709" w:left="0" w:right="0"/>
      </w:pPr>
      <w:r>
        <w:rPr/>
        <w:t>3.3.1 Каждый порт должен поддерживать режимы тактирования: Loop timing от входного сигнала; TCLK 19,44 МГц; PTPv2; локальный Holdover.</w:t>
      </w:r>
    </w:p>
    <w:p>
      <w:pPr>
        <w:spacing w:before="0" w:after="120" w:line="276" w:lineRule="auto"/>
        <w:ind w:firstLine="709" w:left="0" w:right="0"/>
      </w:pPr>
      <w:r>
        <w:rPr/>
        <w:t>3.3.2 Восстановленная частота 2048 кГц выбранного порта должна выдаваться в RX_CLK. Джиттер и вандер должны соответствовать ITU-T G.823.</w:t>
      </w:r>
    </w:p>
    <w:p>
      <w:pPr>
        <w:spacing w:before="0" w:after="120" w:line="276" w:lineRule="auto"/>
        <w:ind w:firstLine="709" w:left="0" w:right="0"/>
      </w:pPr>
      <w:r>
        <w:rPr/>
        <w:t>3.3.3 По каждому порту должны контролироваться LOS, LOF, Yellow Alarm, битовые ошибки и DDM.</w:t>
      </w:r>
    </w:p>
    <w:p>
      <w:pPr>
        <w:spacing w:before="0" w:after="120" w:line="276" w:lineRule="auto"/>
        <w:ind w:firstLine="709" w:left="0" w:right="0"/>
      </w:pPr>
      <w:r>
        <w:rPr/>
        <w:t>3.3.4 На каждом порту должны поддерживаться Optical Loopback, Payload Loopback и Ethernet Packet Loopback.</w:t>
      </w:r>
    </w:p>
    <w:p>
      <w:pPr>
        <w:spacing w:before="0" w:after="120" w:line="276" w:lineRule="auto"/>
        <w:ind w:firstLine="709" w:left="0" w:right="0"/>
      </w:pPr>
      <w:r>
        <w:rPr/>
        <w:t>3.3.5 Изделие должно иметь генератор и анализатор PRBS 2^15−1 и 2^23−1.</w:t>
      </w:r>
    </w:p>
    <w:p>
      <w:pPr>
        <w:spacing w:before="0" w:after="120" w:line="276" w:lineRule="auto"/>
        <w:ind w:firstLine="709" w:left="0" w:right="0"/>
      </w:pPr>
      <w:r>
        <w:rPr/>
        <w:t>3.3.6 Потребляемая мощность субплаты должна быть не более 12 Вт; потребляемая мощность сборки с базовой платой — не более 35 Вт.</w:t>
      </w:r>
    </w:p>
    <w:p>
      <w:pPr>
        <w:spacing w:before="0" w:after="120" w:line="276" w:lineRule="auto"/>
        <w:ind w:firstLine="709" w:left="0" w:right="0"/>
      </w:pPr>
      <w:r>
        <w:rPr/>
        <w:t>3.3.7 Конструкция должна соответствовать Single Full-size AMC.0 и иметь габаритные размеры 73,5 × 180,6 × 28,95 мм.</w:t>
      </w:r>
    </w:p>
    <w:p>
      <w:pPr>
        <w:spacing w:before="0" w:after="120" w:line="276" w:lineRule="auto"/>
        <w:ind w:firstLine="709" w:left="0" w:right="0"/>
      </w:pPr>
      <w:r>
        <w:rPr/>
        <w:t>3.3.8 Межплатное крепление должно выполняться на 4–6 металлических стойках М2,5.</w:t>
      </w:r>
    </w:p>
    <w:p>
      <w:pPr>
        <w:spacing w:before="0" w:after="120" w:line="276" w:lineRule="auto"/>
        <w:ind w:firstLine="709" w:left="0" w:right="0"/>
      </w:pPr>
      <w:r>
        <w:rPr/>
        <w:t>3.3.9 Изделие должно соответствовать ГОСТ РВ 20.39.304-98, группам 1.1, 1.3, 1.4.1, исполнению «О»: рабочая температура от −10 до +50 °C; предельная температура от −40 до +65 °C; синусоидальная вибрация 5g; удары 15g.</w:t>
      </w:r>
    </w:p>
    <w:p>
      <w:pPr>
        <w:spacing w:before="0" w:after="120" w:line="276" w:lineRule="auto"/>
        <w:ind w:firstLine="709" w:left="0" w:right="0"/>
      </w:pPr>
      <w:r>
        <w:rPr/>
        <w:t>3.3.10 Требования по радиопомехам — группа 1.1.1 ГОСТ В 25803-91.</w:t>
      </w:r>
    </w:p>
    <w:p>
      <w:pPr>
        <w:spacing w:before="0" w:after="120" w:line="276" w:lineRule="auto"/>
        <w:ind w:firstLine="709" w:left="0" w:right="0"/>
      </w:pPr>
      <w:r>
        <w:rPr/>
        <w:t>3.3.11 MTBF должен быть не менее 15 000 ч. Назначенный срок службы должен быть не менее 20 лет.</w:t>
      </w:r>
    </w:p>
    <w:p>
      <w:pPr>
        <w:pStyle w:val="Heading2"/>
        <w:keepNext/>
        <w:spacing w:before="180" w:after="120" w:line="276" w:lineRule="auto"/>
      </w:pPr>
      <w:r>
        <w:rPr>
          <w:b/>
        </w:rPr>
        <w:t>3.4 Проверка технических требований</w:t>
      </w:r>
    </w:p>
    <w:tbl>
      <w:tblPr>
        <w:tblW w:w="9300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100"/>
        <w:gridCol w:w="1200"/>
        <w:gridCol w:w="2050"/>
        <w:gridCol w:w="2250"/>
        <w:gridCol w:w="2700"/>
      </w:tblGrid>
      <w:tr>
        <w:trPr>
          <w:tblHeader/>
        </w:trPr>
        <w:tc>
          <w:tcPr>
            <w:tcW w:w="1100" w:type="dxa"/>
            <w:vAlign w:val="top"/>
            <w:shd w:fill="D9EAF7"/>
          </w:tcPr>
          <w:p>
            <w:pPr>
              <w:jc w:val="center"/>
              <w:spacing w:before="0" w:after="40" w:line="276" w:lineRule="auto"/>
            </w:pPr>
            <w:r>
              <w:rPr>
                <w:b/>
              </w:rPr>
              <w:t>Требования</w:t>
            </w:r>
          </w:p>
        </w:tc>
        <w:tc>
          <w:tcPr>
            <w:tcW w:w="1200" w:type="dxa"/>
            <w:vAlign w:val="top"/>
            <w:shd w:fill="D9EAF7"/>
          </w:tcPr>
          <w:p>
            <w:pPr>
              <w:jc w:val="center"/>
              <w:spacing w:before="0" w:after="40" w:line="276" w:lineRule="auto"/>
            </w:pPr>
            <w:r>
              <w:rPr>
                <w:b/>
              </w:rPr>
              <w:t>Метод</w:t>
            </w:r>
          </w:p>
        </w:tc>
        <w:tc>
          <w:tcPr>
            <w:tcW w:w="2050" w:type="dxa"/>
            <w:vAlign w:val="top"/>
            <w:shd w:fill="D9EAF7"/>
          </w:tcPr>
          <w:p>
            <w:pPr>
              <w:jc w:val="center"/>
              <w:spacing w:before="0" w:after="40" w:line="276" w:lineRule="auto"/>
            </w:pPr>
            <w:r>
              <w:rPr>
                <w:b/>
              </w:rPr>
              <w:t>Условия / режим</w:t>
            </w:r>
          </w:p>
        </w:tc>
        <w:tc>
          <w:tcPr>
            <w:tcW w:w="2250" w:type="dxa"/>
            <w:vAlign w:val="top"/>
            <w:shd w:fill="D9EAF7"/>
          </w:tcPr>
          <w:p>
            <w:pPr>
              <w:jc w:val="center"/>
              <w:spacing w:before="0" w:after="40" w:line="276" w:lineRule="auto"/>
            </w:pPr>
            <w:r>
              <w:rPr>
                <w:b/>
              </w:rPr>
              <w:t>Действие</w:t>
            </w:r>
          </w:p>
        </w:tc>
        <w:tc>
          <w:tcPr>
            <w:tcW w:w="2700" w:type="dxa"/>
            <w:vAlign w:val="top"/>
            <w:shd w:fill="D9EAF7"/>
          </w:tcPr>
          <w:p>
            <w:pPr>
              <w:jc w:val="center"/>
              <w:spacing w:before="0" w:after="40" w:line="276" w:lineRule="auto"/>
            </w:pPr>
            <w:r>
              <w:rPr>
                <w:b/>
              </w:rPr>
              <w:t>Наблюдаемый результат</w:t>
            </w:r>
          </w:p>
        </w:tc>
      </w:tr>
      <w:tr>
        <w:trPr/>
        <w:tc>
          <w:tcPr>
            <w:tcW w:w="11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3.1.1–3.1.6</w:t>
            </w:r>
          </w:p>
        </w:tc>
        <w:tc>
          <w:tcPr>
            <w:tcW w:w="12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Осмотр; измерение; тест</w:t>
            </w:r>
          </w:p>
        </w:tc>
        <w:tc>
          <w:tcPr>
            <w:tcW w:w="205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Все четыре порта; выбранное исполнение LC/SFP; варианты 850/1310 нм</w:t>
            </w:r>
          </w:p>
        </w:tc>
        <w:tc>
          <w:tcPr>
            <w:tcW w:w="225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Проверить состав, раздельные TX/RX, линии управления, Board ID; считать DDM/DOM по I2C</w:t>
            </w:r>
          </w:p>
        </w:tc>
        <w:tc>
          <w:tcPr>
            <w:tcW w:w="27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Наличие заданных узлов и интерфейсов; Board ID 0x05; телеметрия содержит мощность TX/RX, температуру и ток лазера. Методики и допуски измерения оптической мощности — [уточнить].</w:t>
            </w:r>
          </w:p>
        </w:tc>
      </w:tr>
      <w:tr>
        <w:trPr/>
        <w:tc>
          <w:tcPr>
            <w:tcW w:w="11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3.1.7–3.1.8</w:t>
            </w:r>
          </w:p>
        </w:tc>
        <w:tc>
          <w:tcPr>
            <w:tcW w:w="12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Тест</w:t>
            </w:r>
          </w:p>
        </w:tc>
        <w:tc>
          <w:tcPr>
            <w:tcW w:w="205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Каждый порт; N = 1…12; IEEE C37.94-2017 и режим совместимости 2002</w:t>
            </w:r>
          </w:p>
        </w:tc>
        <w:tc>
          <w:tcPr>
            <w:tcW w:w="225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Передать известную последовательность пользовательских битов при каждом N</w:t>
            </w:r>
          </w:p>
        </w:tc>
        <w:tc>
          <w:tcPr>
            <w:tcW w:w="27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Полезная скорость 64–768 кбит/с при потоке 2048 кбит/с; биты не изменены и не инвертированы.</w:t>
            </w:r>
          </w:p>
        </w:tc>
      </w:tr>
      <w:tr>
        <w:trPr/>
        <w:tc>
          <w:tcPr>
            <w:tcW w:w="11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3.2.1–3.2.4</w:t>
            </w:r>
          </w:p>
        </w:tc>
        <w:tc>
          <w:tcPr>
            <w:tcW w:w="12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Анализ; измерение; тест</w:t>
            </w:r>
          </w:p>
        </w:tc>
        <w:tc>
          <w:tcPr>
            <w:tcW w:w="205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L2; при задании — L3/UDP/IP; рабочий диапазон температур и сетевой нагрузки</w:t>
            </w:r>
          </w:p>
        </w:tc>
        <w:tc>
          <w:tcPr>
            <w:tcW w:w="225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Контролировать период пакетизации, приоритет, задержку, асимметрию и целостность кадров при PDV</w:t>
            </w:r>
          </w:p>
        </w:tc>
        <w:tc>
          <w:tcPr>
            <w:tcW w:w="27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Фиксированная детерминированная задержка; асимметрия не более ±10 мкс; нет выпадения кадров. Абсолютная задержка, период пакетизации, профиль нагрузки и допустимый PDV — [уточнить].</w:t>
            </w:r>
          </w:p>
        </w:tc>
      </w:tr>
      <w:tr>
        <w:trPr/>
        <w:tc>
          <w:tcPr>
            <w:tcW w:w="11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3.2.5–3.2.6</w:t>
            </w:r>
          </w:p>
        </w:tc>
        <w:tc>
          <w:tcPr>
            <w:tcW w:w="12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Тест</w:t>
            </w:r>
          </w:p>
        </w:tc>
        <w:tc>
          <w:tcPr>
            <w:tcW w:w="205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Единичная и последовательная потеря пакетов</w:t>
            </w:r>
          </w:p>
        </w:tc>
        <w:tc>
          <w:tcPr>
            <w:tcW w:w="225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Внести потерю пакета; затем превысить настроенный порог</w:t>
            </w:r>
          </w:p>
        </w:tc>
        <w:tc>
          <w:tcPr>
            <w:tcW w:w="27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Ретрансляции нет; единичная потеря зарегистрирована как ошибка и обозначена Yellow Alarm / LOF; превышение порога вызывает Laser Off. Порог — [уточнить].</w:t>
            </w:r>
          </w:p>
        </w:tc>
      </w:tr>
      <w:tr>
        <w:trPr/>
        <w:tc>
          <w:tcPr>
            <w:tcW w:w="11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3.2.7–3.2.9</w:t>
            </w:r>
          </w:p>
        </w:tc>
        <w:tc>
          <w:tcPr>
            <w:tcW w:w="12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Тест</w:t>
            </w:r>
          </w:p>
        </w:tc>
        <w:tc>
          <w:tcPr>
            <w:tcW w:w="205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П2, два независимых тракта; отказ каждого пути; LOS/LOF/потеря тракта</w:t>
            </w:r>
          </w:p>
        </w:tc>
        <w:tc>
          <w:tcPr>
            <w:tcW w:w="225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Сравнить копии, отказать один путь, инициировать указанные неисправности</w:t>
            </w:r>
          </w:p>
        </w:tc>
        <w:tc>
          <w:tcPr>
            <w:tcW w:w="27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Поштучная дедупликация; при отказе одного пути нет потери битов; не выдаются недостоверные, случайные и устаревшие данные. Ожидаемое безопасное состояние при исправном втором пути — [уточнить].</w:t>
            </w:r>
          </w:p>
        </w:tc>
      </w:tr>
      <w:tr>
        <w:trPr/>
        <w:tc>
          <w:tcPr>
            <w:tcW w:w="11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3.3.1–3.3.2</w:t>
            </w:r>
          </w:p>
        </w:tc>
        <w:tc>
          <w:tcPr>
            <w:tcW w:w="12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Измерение; тест</w:t>
            </w:r>
          </w:p>
        </w:tc>
        <w:tc>
          <w:tcPr>
            <w:tcW w:w="205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Каждый режим тактирования на каждом порту, включая переключение источников</w:t>
            </w:r>
          </w:p>
        </w:tc>
        <w:tc>
          <w:tcPr>
            <w:tcW w:w="225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Выбрать источник; измерить RX_CLK, джиттер и вандер</w:t>
            </w:r>
          </w:p>
        </w:tc>
        <w:tc>
          <w:tcPr>
            <w:tcW w:w="27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Поддерживаются все четыре режима; RX_CLK выбранного порта — 2048 кГц; соответствие ITU-T G.823. Условия переключения и требования к восстановлению после утраты источника — [уточнить].</w:t>
            </w:r>
          </w:p>
        </w:tc>
      </w:tr>
      <w:tr>
        <w:trPr/>
        <w:tc>
          <w:tcPr>
            <w:tcW w:w="11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3.3.3–3.3.5</w:t>
            </w:r>
          </w:p>
        </w:tc>
        <w:tc>
          <w:tcPr>
            <w:tcW w:w="12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Демонстрация; тест</w:t>
            </w:r>
          </w:p>
        </w:tc>
        <w:tc>
          <w:tcPr>
            <w:tcW w:w="205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Каждый порт; все петли; обе PRBS</w:t>
            </w:r>
          </w:p>
        </w:tc>
        <w:tc>
          <w:tcPr>
            <w:tcW w:w="225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Инициировать состояния и ошибки, включить петли, запустить генератор/анализатор</w:t>
            </w:r>
          </w:p>
        </w:tc>
        <w:tc>
          <w:tcPr>
            <w:tcW w:w="27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Индикация и регистрация соответствуют воздействию; работают все виды петель и PRBS 2^15−1, 2^23−1. Не заданные пороги битовых ошибок — [уточнить].</w:t>
            </w:r>
          </w:p>
        </w:tc>
      </w:tr>
      <w:tr>
        <w:trPr/>
        <w:tc>
          <w:tcPr>
            <w:tcW w:w="11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3.3.6</w:t>
            </w:r>
          </w:p>
        </w:tc>
        <w:tc>
          <w:tcPr>
            <w:tcW w:w="12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Измерение</w:t>
            </w:r>
          </w:p>
        </w:tc>
        <w:tc>
          <w:tcPr>
            <w:tcW w:w="205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Субплата отдельно и сборка с базовой платой в рабочих режимах</w:t>
            </w:r>
          </w:p>
        </w:tc>
        <w:tc>
          <w:tcPr>
            <w:tcW w:w="225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Измерить мощность</w:t>
            </w:r>
          </w:p>
        </w:tc>
        <w:tc>
          <w:tcPr>
            <w:tcW w:w="27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Не более 12 Вт и не более 35 Вт соответственно. Точность средств измерений и режим максимального потребления — [уточнить].</w:t>
            </w:r>
          </w:p>
        </w:tc>
      </w:tr>
      <w:tr>
        <w:trPr/>
        <w:tc>
          <w:tcPr>
            <w:tcW w:w="11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3.3.7–3.3.8</w:t>
            </w:r>
          </w:p>
        </w:tc>
        <w:tc>
          <w:tcPr>
            <w:tcW w:w="12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Осмотр; измерение</w:t>
            </w:r>
          </w:p>
        </w:tc>
        <w:tc>
          <w:tcPr>
            <w:tcW w:w="205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Готовая сборка</w:t>
            </w:r>
          </w:p>
        </w:tc>
        <w:tc>
          <w:tcPr>
            <w:tcW w:w="225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Измерить габариты, проверить формат и крепление</w:t>
            </w:r>
          </w:p>
        </w:tc>
        <w:tc>
          <w:tcPr>
            <w:tcW w:w="27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Single Full-size AMC.0; 73,5 × 180,6 × 28,95 мм; 4–6 металлических стоек М2,5.</w:t>
            </w:r>
          </w:p>
        </w:tc>
      </w:tr>
      <w:tr>
        <w:trPr/>
        <w:tc>
          <w:tcPr>
            <w:tcW w:w="11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3.3.9–3.3.10</w:t>
            </w:r>
          </w:p>
        </w:tc>
        <w:tc>
          <w:tcPr>
            <w:tcW w:w="12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Испытание</w:t>
            </w:r>
          </w:p>
        </w:tc>
        <w:tc>
          <w:tcPr>
            <w:tcW w:w="205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Воздействия и группы по указанным документам</w:t>
            </w:r>
          </w:p>
        </w:tc>
        <w:tc>
          <w:tcPr>
            <w:tcW w:w="225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Провести климатические, вибрационные, ударные испытания и проверку радиопомех</w:t>
            </w:r>
          </w:p>
        </w:tc>
        <w:tc>
          <w:tcPr>
            <w:tcW w:w="27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Соответствие заданным группам и значениям. Режимы функционирования и критерии работоспособности во время/после воздействий — [уточнить].</w:t>
            </w:r>
          </w:p>
        </w:tc>
      </w:tr>
      <w:tr>
        <w:trPr/>
        <w:tc>
          <w:tcPr>
            <w:tcW w:w="11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3.3.11</w:t>
            </w:r>
          </w:p>
        </w:tc>
        <w:tc>
          <w:tcPr>
            <w:tcW w:w="12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Анализ; расчёт; испытание</w:t>
            </w:r>
          </w:p>
        </w:tc>
        <w:tc>
          <w:tcPr>
            <w:tcW w:w="205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Изделие и данные по надёжности</w:t>
            </w:r>
          </w:p>
        </w:tc>
        <w:tc>
          <w:tcPr>
            <w:tcW w:w="225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Оценить показатели установленным методом</w:t>
            </w:r>
          </w:p>
        </w:tc>
        <w:tc>
          <w:tcPr>
            <w:tcW w:w="27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MTBF не менее 15 000 ч; назначенный срок службы не менее 20 лет. Метод подтверждения и исходные данные — [уточнить].</w:t>
            </w:r>
          </w:p>
        </w:tc>
      </w:tr>
    </w:tbl>
    <w:p>
      <w:pPr>
        <w:pStyle w:val="Heading1"/>
        <w:keepNext/>
        <w:pageBreakBefore/>
        <w:spacing w:before="240" w:after="120" w:line="276" w:lineRule="auto"/>
      </w:pPr>
      <w:r>
        <w:rPr>
          <w:b/>
        </w:rPr>
        <w:t>4 Технико-экономические требования</w:t>
      </w:r>
    </w:p>
    <w:p>
      <w:pPr>
        <w:spacing w:before="0" w:after="120" w:line="276" w:lineRule="auto"/>
        <w:ind w:firstLine="709" w:left="0" w:right="0"/>
      </w:pPr>
      <w:r>
        <w:rPr/>
        <w:t>4.1 Технико-экономические требования не предъявляются.</w:t>
      </w:r>
    </w:p>
    <w:p>
      <w:pPr>
        <w:pStyle w:val="Heading1"/>
        <w:keepNext/>
        <w:spacing w:before="240" w:after="120" w:line="276" w:lineRule="auto"/>
      </w:pPr>
      <w:r>
        <w:rPr>
          <w:b/>
        </w:rPr>
        <w:t>5 Требования к видам обеспечения</w:t>
      </w:r>
    </w:p>
    <w:p>
      <w:pPr>
        <w:pStyle w:val="Heading2"/>
        <w:keepNext/>
        <w:spacing w:before="180" w:after="120" w:line="276" w:lineRule="auto"/>
      </w:pPr>
      <w:r>
        <w:rPr>
          <w:b/>
        </w:rPr>
        <w:t>5.1 Нормативное обеспечение</w:t>
      </w:r>
    </w:p>
    <w:p>
      <w:pPr>
        <w:spacing w:before="0" w:after="120" w:line="276" w:lineRule="auto"/>
        <w:ind w:firstLine="709" w:left="0" w:right="0"/>
      </w:pPr>
      <w:r>
        <w:rPr/>
        <w:t>5.1.1 При разработке, изготовлении и проверке изделия должны применяться документы, перечисленные в перечне применимых нормативных и справочных документов, в части требований настоящего ТЗ.</w:t>
      </w:r>
    </w:p>
    <w:p>
      <w:pPr>
        <w:pStyle w:val="Heading2"/>
        <w:keepNext/>
        <w:spacing w:before="180" w:after="120" w:line="276" w:lineRule="auto"/>
      </w:pPr>
      <w:r>
        <w:rPr>
          <w:b/>
        </w:rPr>
        <w:t>5.2 Метрологическое обеспечение</w:t>
      </w:r>
    </w:p>
    <w:p>
      <w:pPr>
        <w:spacing w:before="0" w:after="120" w:line="276" w:lineRule="auto"/>
        <w:ind w:firstLine="709" w:left="0" w:right="0"/>
      </w:pPr>
      <w:r>
        <w:rPr/>
        <w:t>5.2.1 Должны быть предусмотрены средства и методики измерения оптической мощности, джиттера по ITU-T G.823, сквозной задержки и асимметрии.</w:t>
      </w:r>
    </w:p>
    <w:p>
      <w:pPr>
        <w:spacing w:before="0" w:after="120" w:line="276" w:lineRule="auto"/>
        <w:ind w:firstLine="709" w:left="0" w:right="0"/>
      </w:pPr>
      <w:r>
        <w:rPr/>
        <w:t>5.2.2 Состав средств измерений, диапазоны, погрешности, условия, методики и порядок метрологического подтверждения — [уточнить]. До их определения методика проверки не считается завершённой.</w:t>
      </w:r>
    </w:p>
    <w:p>
      <w:pPr>
        <w:pStyle w:val="Heading2"/>
        <w:keepNext/>
        <w:spacing w:before="180" w:after="120" w:line="276" w:lineRule="auto"/>
      </w:pPr>
      <w:r>
        <w:rPr>
          <w:b/>
        </w:rPr>
        <w:t>5.3 Диагностическое обеспечение</w:t>
      </w:r>
    </w:p>
    <w:p>
      <w:pPr>
        <w:spacing w:before="0" w:after="120" w:line="276" w:lineRule="auto"/>
        <w:ind w:firstLine="709" w:left="0" w:right="0"/>
      </w:pPr>
      <w:r>
        <w:rPr/>
        <w:t>5.3.1 Должны регистрироваться DDM, LOS, LOF, Yellow Alarm и статистика задержки; должны формироваться сообщения и отчёты для РМО.</w:t>
      </w:r>
    </w:p>
    <w:p>
      <w:pPr>
        <w:pStyle w:val="Heading2"/>
        <w:keepNext/>
        <w:spacing w:before="180" w:after="120" w:line="276" w:lineRule="auto"/>
      </w:pPr>
      <w:r>
        <w:rPr>
          <w:b/>
        </w:rPr>
        <w:t>5.4 Программное обеспечение</w:t>
      </w:r>
    </w:p>
    <w:p>
      <w:pPr>
        <w:spacing w:before="0" w:after="120" w:line="276" w:lineRule="auto"/>
        <w:ind w:firstLine="709" w:left="0" w:right="0"/>
      </w:pPr>
      <w:r>
        <w:rPr/>
        <w:t>5.4.1 В составе программного обеспечения должны быть разработаны bitstream функционального модуля для Flash базовой платы, драйверы Linux и MIB для РМО.</w:t>
      </w:r>
    </w:p>
    <w:p>
      <w:pPr>
        <w:pStyle w:val="Heading2"/>
        <w:keepNext/>
        <w:spacing w:before="180" w:after="120" w:line="276" w:lineRule="auto"/>
      </w:pPr>
      <w:r>
        <w:rPr>
          <w:b/>
        </w:rPr>
        <w:t>5.5 Проверка требований к видам обеспечения</w:t>
      </w:r>
    </w:p>
    <w:tbl>
      <w:tblPr>
        <w:tblW w:w="9300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300"/>
        <w:gridCol w:w="3700"/>
        <w:gridCol w:w="4300"/>
      </w:tblGrid>
      <w:tr>
        <w:trPr>
          <w:tblHeader/>
        </w:trPr>
        <w:tc>
          <w:tcPr>
            <w:tcW w:w="1300" w:type="dxa"/>
            <w:vAlign w:val="top"/>
            <w:shd w:fill="D9EAF7"/>
          </w:tcPr>
          <w:p>
            <w:pPr>
              <w:jc w:val="center"/>
              <w:spacing w:before="0" w:after="40" w:line="276" w:lineRule="auto"/>
            </w:pPr>
            <w:r>
              <w:rPr>
                <w:b/>
              </w:rPr>
              <w:t>Требования</w:t>
            </w:r>
          </w:p>
        </w:tc>
        <w:tc>
          <w:tcPr>
            <w:tcW w:w="3700" w:type="dxa"/>
            <w:vAlign w:val="top"/>
            <w:shd w:fill="D9EAF7"/>
          </w:tcPr>
          <w:p>
            <w:pPr>
              <w:jc w:val="center"/>
              <w:spacing w:before="0" w:after="40" w:line="276" w:lineRule="auto"/>
            </w:pPr>
            <w:r>
              <w:rPr>
                <w:b/>
              </w:rPr>
              <w:t>Метод и условия</w:t>
            </w:r>
          </w:p>
        </w:tc>
        <w:tc>
          <w:tcPr>
            <w:tcW w:w="4300" w:type="dxa"/>
            <w:vAlign w:val="top"/>
            <w:shd w:fill="D9EAF7"/>
          </w:tcPr>
          <w:p>
            <w:pPr>
              <w:jc w:val="center"/>
              <w:spacing w:before="0" w:after="40" w:line="276" w:lineRule="auto"/>
            </w:pPr>
            <w:r>
              <w:rPr>
                <w:b/>
              </w:rPr>
              <w:t>Наблюдаемый результат</w:t>
            </w:r>
          </w:p>
        </w:tc>
      </w:tr>
      <w:tr>
        <w:trPr/>
        <w:tc>
          <w:tcPr>
            <w:tcW w:w="13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5.1.1</w:t>
            </w:r>
          </w:p>
        </w:tc>
        <w:tc>
          <w:tcPr>
            <w:tcW w:w="37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Анализ РКД, программной документации и ПМИ</w:t>
            </w:r>
          </w:p>
        </w:tc>
        <w:tc>
          <w:tcPr>
            <w:tcW w:w="43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Применимые требования документов учтены в границах настоящего ТЗ.</w:t>
            </w:r>
          </w:p>
        </w:tc>
      </w:tr>
      <w:tr>
        <w:trPr/>
        <w:tc>
          <w:tcPr>
            <w:tcW w:w="13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5.2.1–5.2.2</w:t>
            </w:r>
          </w:p>
        </w:tc>
        <w:tc>
          <w:tcPr>
            <w:tcW w:w="37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Инспекция методик и средств; измерения на изделии</w:t>
            </w:r>
          </w:p>
        </w:tc>
        <w:tc>
          <w:tcPr>
            <w:tcW w:w="43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Предусмотрены измерения всех четырёх величин; отсутствующие метрологические характеристики явно определены до проведения проверки.</w:t>
            </w:r>
          </w:p>
        </w:tc>
      </w:tr>
      <w:tr>
        <w:trPr/>
        <w:tc>
          <w:tcPr>
            <w:tcW w:w="13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5.3.1</w:t>
            </w:r>
          </w:p>
        </w:tc>
        <w:tc>
          <w:tcPr>
            <w:tcW w:w="37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Инициирование DDM и аварийных состояний; изменение задержки</w:t>
            </w:r>
          </w:p>
        </w:tc>
        <w:tc>
          <w:tcPr>
            <w:tcW w:w="43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РМО получает регистрацию, сообщения, статистику и отчёты по заданной номенклатуре.</w:t>
            </w:r>
          </w:p>
        </w:tc>
      </w:tr>
      <w:tr>
        <w:trPr/>
        <w:tc>
          <w:tcPr>
            <w:tcW w:w="13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5.4.1</w:t>
            </w:r>
          </w:p>
        </w:tc>
        <w:tc>
          <w:tcPr>
            <w:tcW w:w="37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Инспекция комплекта и демонстрация загрузки/обмена</w:t>
            </w:r>
          </w:p>
        </w:tc>
        <w:tc>
          <w:tcPr>
            <w:tcW w:w="430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Наличие bitstream, драйверов Linux и MIB; bitstream загружается из Flash по Board ID 0x05. Критерии полноты программной документации — [уточнить].</w:t>
            </w:r>
          </w:p>
        </w:tc>
      </w:tr>
    </w:tbl>
    <w:p>
      <w:pPr>
        <w:pStyle w:val="Heading1"/>
        <w:keepNext/>
        <w:pageBreakBefore/>
        <w:spacing w:before="240" w:after="120" w:line="276" w:lineRule="auto"/>
      </w:pPr>
      <w:r>
        <w:rPr>
          <w:b/>
        </w:rPr>
        <w:t>6 Требования к сырью, материалам и комплектующим изделиям</w:t>
      </w:r>
    </w:p>
    <w:p>
      <w:pPr>
        <w:spacing w:before="0" w:after="120" w:line="276" w:lineRule="auto"/>
        <w:ind w:firstLine="709" w:left="0" w:right="0"/>
      </w:pPr>
      <w:r>
        <w:rPr/>
        <w:t>6.1 При выборе материалов и комплектующих должен обеспечиваться приоритет отечественных материалов и комплектующих с приёмкой ОТК.</w:t>
      </w:r>
    </w:p>
    <w:p>
      <w:pPr>
        <w:spacing w:before="0" w:after="120" w:line="276" w:lineRule="auto"/>
        <w:ind w:firstLine="709" w:left="0" w:right="0"/>
      </w:pPr>
      <w:r>
        <w:rPr/>
        <w:t>6.2 При отсутствии отечественных аналогов допускается применение импортной ЭКБ промышленного температурного диапазона.</w:t>
      </w:r>
    </w:p>
    <w:p>
      <w:pPr>
        <w:spacing w:before="0" w:after="120" w:line="276" w:lineRule="auto"/>
        <w:ind w:firstLine="709" w:left="0" w:right="0"/>
      </w:pPr>
      <w:r>
        <w:rPr/>
        <w:t>6.3 Соответствие требованиям проверяют инспекцией спецификаций, документов о происхождении и приёмке ОТК. Для импортной ЭКБ должны быть представлены подтверждение отсутствия отечественного аналога и данные о промышленном температурном диапазоне; форма такого подтверждения — [уточнить].</w:t>
      </w:r>
    </w:p>
    <w:p>
      <w:pPr>
        <w:pStyle w:val="Heading1"/>
        <w:keepNext/>
        <w:spacing w:before="240" w:after="120" w:line="276" w:lineRule="auto"/>
      </w:pPr>
      <w:r>
        <w:rPr>
          <w:b/>
        </w:rPr>
        <w:t>7 Требования к консервации, упаковке и маркировке</w:t>
      </w:r>
    </w:p>
    <w:p>
      <w:pPr>
        <w:spacing w:before="0" w:after="120" w:line="276" w:lineRule="auto"/>
        <w:ind w:firstLine="709" w:left="0" w:right="0"/>
      </w:pPr>
      <w:r>
        <w:rPr/>
        <w:t>7.1 На изделие должны быть нанесены децимальный номер, серийный номер, ревизия и маркировка портов C37-1…C37-4.</w:t>
      </w:r>
    </w:p>
    <w:p>
      <w:pPr>
        <w:spacing w:before="0" w:after="120" w:line="276" w:lineRule="auto"/>
        <w:ind w:firstLine="709" w:left="0" w:right="0"/>
      </w:pPr>
      <w:r>
        <w:rPr/>
        <w:t>7.2 Оптические разъёмы должны быть защищены колпачками.</w:t>
      </w:r>
    </w:p>
    <w:p>
      <w:pPr>
        <w:spacing w:before="0" w:after="120" w:line="276" w:lineRule="auto"/>
        <w:ind w:firstLine="709" w:left="0" w:right="0"/>
      </w:pPr>
      <w:r>
        <w:rPr/>
        <w:t>7.3 Срок хранения изделия в заводской таре должен быть не менее 1 года по ГОСТ 15150. Условия хранения, вид тары и требования к консервации — [уточнить].</w:t>
      </w:r>
    </w:p>
    <w:p>
      <w:pPr>
        <w:spacing w:before="0" w:after="120" w:line="276" w:lineRule="auto"/>
        <w:ind w:firstLine="709" w:left="0" w:right="0"/>
      </w:pPr>
      <w:r>
        <w:rPr/>
        <w:t>7.4 Соответствие маркировки и наличие защитных колпачков проверяют осмотром. Срок хранения подтверждают анализом документации и, если это будет предусмотрено ПМИ, испытанием; условия и метод подтверждения — [уточнить].</w:t>
      </w:r>
    </w:p>
    <w:p>
      <w:pPr>
        <w:pStyle w:val="Heading1"/>
        <w:keepNext/>
        <w:pageBreakBefore/>
        <w:spacing w:before="240" w:after="120" w:line="276" w:lineRule="auto"/>
      </w:pPr>
      <w:r>
        <w:rPr>
          <w:b/>
        </w:rPr>
        <w:t>8 Специальные требования</w:t>
      </w:r>
    </w:p>
    <w:p>
      <w:pPr>
        <w:spacing w:before="0" w:after="120" w:line="276" w:lineRule="auto"/>
        <w:ind w:firstLine="709" w:left="0" w:right="0"/>
      </w:pPr>
      <w:r>
        <w:rPr/>
        <w:t>8.1 Телеметрия РМО на C++/Qt должна обеспечивать мнемосхему четырёх портов и отображение N, DDM в дБм, LOS, LOF, Yellow Alarm, задержки, асимметрии и статуса П2.</w:t>
      </w:r>
    </w:p>
    <w:p>
      <w:pPr>
        <w:spacing w:before="0" w:after="120" w:line="276" w:lineRule="auto"/>
        <w:ind w:firstLine="709" w:left="0" w:right="0"/>
      </w:pPr>
      <w:r>
        <w:rPr/>
        <w:t>8.2 РМО должно обеспечивать команды настройки N, режима тактирования и П2, управления петлями и запуска PRBS.</w:t>
      </w:r>
    </w:p>
    <w:p>
      <w:pPr>
        <w:spacing w:before="0" w:after="120" w:line="276" w:lineRule="auto"/>
        <w:ind w:firstLine="709" w:left="0" w:right="0"/>
      </w:pPr>
      <w:r>
        <w:rPr/>
        <w:t>8.3 Требования 8.1 и 8.2 проверяют демонстрацией РМО при работе всех четырёх портов: последовательно изменяют доступные настройки, инициируют диагностические состояния и запускают каждую петлю и обе PRBS; интерфейс должен отображать заданную телеметрию, а команды должны приводить к соответствующему изменению режима. Права доступа, форматы сообщений и отчётов, период обновления и критерии точности отображения задержки, асимметрии и DDM — [уточнить].</w:t>
      </w:r>
    </w:p>
    <w:p>
      <w:pPr>
        <w:spacing w:before="0" w:after="400" w:line="276" w:lineRule="auto"/>
        <w:ind w:firstLine="709" w:left="0" w:right="0"/>
      </w:pPr>
      <w:r>
        <w:rPr/>
        <w:t/>
      </w:r>
    </w:p>
    <w:tbl>
      <w:tblPr>
        <w:tblW w:w="9300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650"/>
        <w:gridCol w:w="4650"/>
      </w:tblGrid>
      <w:tr>
        <w:trPr/>
        <w:tc>
          <w:tcPr>
            <w:tcW w:w="465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РАЗРАБОТАЛ</w:t>
              <w:br/>
              <w:t>Должность: [уточнить]</w:t>
              <w:br/>
              <w:t>Организация: [организация-исполнитель]</w:t>
              <w:br/>
              <w:t>____________ / [уточнить]</w:t>
              <w:br/>
              <w:t>«___» __________ 20__ г.</w:t>
            </w:r>
          </w:p>
        </w:tc>
        <w:tc>
          <w:tcPr>
            <w:tcW w:w="4650" w:type="dxa"/>
            <w:vAlign w:val="top"/>
          </w:tcPr>
          <w:p>
            <w:pPr>
              <w:jc w:val="left"/>
              <w:spacing w:before="0" w:after="40" w:line="276" w:lineRule="auto"/>
            </w:pPr>
            <w:r>
              <w:rPr/>
              <w:t>СОГЛАСОВАНО</w:t>
              <w:br/>
              <w:t>Должность: [уточнить]</w:t>
              <w:br/>
              <w:t>Организация: [уточнить]</w:t>
              <w:br/>
              <w:t>____________ / [уточнить]</w:t>
              <w:br/>
              <w:t>«___» __________ 20__ г.</w:t>
            </w:r>
          </w:p>
        </w:tc>
      </w:tr>
    </w:tbl>
    <w:sectPr>
      <w:headerReference w:type="default" r:id="rIdHeader1"/>
      <w:pgSz w:w="11906" w:h="16838"/>
      <w:pgMar w:top="1134" w:right="850" w:bottom="1134" w:left="1701" w:header="500" w:footer="500" w:gutter="0"/>
      <w:cols w:space="708"/>
      <w:docGrid w:linePitch="360"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 xml:space="preserve"> PAGE </w:instrText>
    </w:r>
    <w:r>
      <w:fldChar w:fldCharType="end"/>
    </w:r>
  </w:p>
</w:hdr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4"/>
        <w:szCs w:val="24"/>
        <w:lang w:val="ru-RU"/>
      </w:rPr>
    </w:rPrDefault>
    <w:pPrDefault>
      <w:pPr>
        <w:jc w:val="both"/>
      </w:pPr>
    </w:pPrDefault>
  </w:docDefaults>
  <w:style w:type="paragraph" w:default="1" w:styleId="Normal">
    <w:name w:val="Обычный"/>
    <w:qFormat/>
  </w:style>
  <w:style w:type="paragraph" w:styleId="Heading1">
    <w:name w:val="Заголовок 1"/>
    <w:basedOn w:val="Normal"/>
    <w:next w:val="Normal"/>
    <w:qFormat/>
    <w:pPr>
      <w:keepNext/>
      <w:keepLines/>
      <w:outlineLvl w:val="0"/>
      <w:spacing w:before="240" w:after="120"/>
    </w:pPr>
    <w:rPr>
      <w:b/>
      <w:sz w:val="28"/>
      <w:szCs w:val="28"/>
    </w:rPr>
  </w:style>
  <w:style w:type="paragraph" w:styleId="Heading2">
    <w:name w:val="Заголовок 2"/>
    <w:basedOn w:val="Normal"/>
    <w:next w:val="Normal"/>
    <w:qFormat/>
    <w:pPr>
      <w:keepNext/>
      <w:keepLines/>
      <w:outlineLvl w:val="1"/>
      <w:spacing w:before="180" w:after="100"/>
    </w:pPr>
    <w:rPr>
      <w:b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<Relationship Id="rIdStyles" Type="http://schemas.openxmlformats.org/officeDocument/2006/relationships/styles" Target="styles.xml"/>
 <Relationship Id="rIdSettings" Type="http://schemas.openxmlformats.org/officeDocument/2006/relationships/settings" Target="settings.xml"/>
 <Relationship Id="rIdHeader1" Type="http://schemas.openxmlformats.org/officeDocument/2006/relationships/header" Target="head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СЧ ОКР «Развитие-ТСА»</dc:title>
  <dc:subject>Субплата 4×IEEE C37.94 и функциональный модуль релейной защиты</dc:subject>
  <dc:creator>[организация-исполнитель]</dc:creator>
  <dc:language>ru-RU</dc:language>
</cp:coreProperties>
</file>