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rPr>
                <w:b/>
              </w:rPr>
              <w:t xml:space="preserve">СОГЛАСОВАНОЗаказчик / НИО заказчика________________ / [уточнить]«___» ____________ 20__ г.</w:t>
            </w:r>
          </w:p>
        </w:tc>
        <w:tc>
          <w:tcPr>
            <w:tcW w:w="4500" w:type="dxa"/>
          </w:tcPr>
          <w:p>
            <w:pPr/>
            <w:r>
              <w:rPr>
                <w:b/>
              </w:rPr>
              <w:t xml:space="preserve">УТВЕРЖДАЮГоловной исполнитель ОКР________________ / [уточнить]«___» ____________ 20__ г.</w:t>
            </w:r>
          </w:p>
        </w:tc>
      </w:tr>
    </w:tbl>
    <w:p>
      <w:pPr/>
      <w:r>
        <w:rPr/>
        <w:t xml:space="preserve">ТЕХНИЧЕСКОЕ ЗАДАНИЕ</w:t>
      </w:r>
    </w:p>
    <w:p>
      <w:pPr/>
      <w:r>
        <w:rPr/>
        <w:t xml:space="preserve">на составную часть опытно-конструкторской работы</w:t>
      </w:r>
    </w:p>
    <w:p>
      <w:pPr/>
      <w:r>
        <w:rPr/>
        <w:t xml:space="preserve">«Развитие-ТСА»</w:t>
      </w:r>
    </w:p>
    <w:p>
      <w:pPr/>
      <w:r>
        <w:rPr/>
        <w:t xml:space="preserve">Сменная интерфейсная субплата 4×IEEE C37.94</w:t>
      </w:r>
      <w:r>
        <w:br/>
      </w:r>
      <w:r>
        <w:rPr/>
        <w:t xml:space="preserve">и функциональный модуль релейной защиты</w:t>
      </w:r>
      <w:r>
        <w:br/>
      </w:r>
      <w:r>
        <w:rPr/>
        <w:t xml:space="preserve">для универсального базового модуля AMC семейства ДММП</w:t>
      </w:r>
    </w:p>
    <w:p>
      <w:pPr/>
      <w:r>
        <w:rPr/>
        <w:t xml:space="preserve">Обозначение изделия: [уточнить]</w:t>
      </w:r>
    </w:p>
    <w:p>
      <w:pPr/>
      <w:r>
        <w:rPr/>
        <w:t xml:space="preserve">[место составления] — 20__ г.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ЛИСТ СОГЛАСОВАНИЯ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rPr>
                <w:b/>
              </w:rPr>
              <w:t xml:space="preserve">Организация, должность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Подпись, инициалы, фамилия</w:t>
            </w:r>
          </w:p>
        </w:tc>
        <w:tc>
          <w:tcPr>
            <w:tcW w:w="3000" w:type="dxa"/>
          </w:tcPr>
          <w:p>
            <w:pPr/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Заказчик либо НИО заказчика</w:t>
            </w:r>
            <w:r>
              <w:br/>
            </w:r>
            <w:r>
              <w:rPr/>
              <w:t xml:space="preserve">[уточнить]</w:t>
            </w:r>
          </w:p>
        </w:tc>
        <w:tc>
          <w:tcPr>
            <w:tcW w:w="3000" w:type="dxa"/>
          </w:tcPr>
          <w:p>
            <w:pPr/>
            <w:r>
              <w:rPr/>
              <w:t xml:space="preserve">________________ / [уточнить]</w:t>
            </w:r>
          </w:p>
        </w:tc>
        <w:tc>
          <w:tcPr>
            <w:tcW w:w="3000" w:type="dxa"/>
          </w:tcPr>
          <w:p>
            <w:pPr/>
            <w:r>
              <w:rPr/>
              <w:t xml:space="preserve">«___» ____________ 20__ г.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Исполнитель составной части ОКР</w:t>
            </w:r>
            <w:r>
              <w:br/>
            </w:r>
            <w:r>
              <w:rPr/>
              <w:t xml:space="preserve">[организация-исполнитель]</w:t>
            </w:r>
          </w:p>
        </w:tc>
        <w:tc>
          <w:tcPr>
            <w:tcW w:w="3000" w:type="dxa"/>
          </w:tcPr>
          <w:p>
            <w:pPr/>
            <w:r>
              <w:rPr/>
              <w:t xml:space="preserve">________________ / [уточнить]</w:t>
            </w:r>
          </w:p>
        </w:tc>
        <w:tc>
          <w:tcPr>
            <w:tcW w:w="3000" w:type="dxa"/>
          </w:tcPr>
          <w:p>
            <w:pPr/>
            <w:r>
              <w:rPr/>
              <w:t xml:space="preserve">«___» ____________ 20__ г.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Иная организация, согласующая ТЗ (при решении заказчика или головного исполнителя ОКР, согласованном с заказчиком)</w:t>
            </w:r>
            <w:r>
              <w:br/>
            </w:r>
            <w:r>
              <w:rPr/>
              <w:t xml:space="preserve">[уточнить]</w:t>
            </w:r>
          </w:p>
        </w:tc>
        <w:tc>
          <w:tcPr>
            <w:tcW w:w="3000" w:type="dxa"/>
          </w:tcPr>
          <w:p>
            <w:pPr/>
            <w:r>
              <w:rPr/>
              <w:t xml:space="preserve">________________ / [уточнить]</w:t>
            </w:r>
          </w:p>
        </w:tc>
        <w:tc>
          <w:tcPr>
            <w:tcW w:w="3000" w:type="dxa"/>
          </w:tcPr>
          <w:p>
            <w:pPr/>
            <w:r>
              <w:rPr/>
              <w:t xml:space="preserve">«___» ____________ 20__ г.</w:t>
            </w:r>
          </w:p>
        </w:tc>
      </w:tr>
    </w:tbl>
    <w:p>
      <w:pPr/>
      <w:r>
        <w:rPr/>
        <w:t xml:space="preserve">Лист согласования приведён для оформления реквизитов; состав согласующих организаций подлежит уточнению.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ПЕРЕЧЕНЬ ОБОЗНАЧЕНИЙ И СОКРАЩЕНИЙ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rPr>
                <w:b/>
              </w:rPr>
              <w:t xml:space="preserve">Сокращение, обозначение</w:t>
            </w:r>
          </w:p>
        </w:tc>
        <w:tc>
          <w:tcPr>
            <w:tcW w:w="4500" w:type="dxa"/>
          </w:tcPr>
          <w:p>
            <w:pPr/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AMC</w:t>
            </w:r>
          </w:p>
        </w:tc>
        <w:tc>
          <w:tcPr>
            <w:tcW w:w="4500" w:type="dxa"/>
          </w:tcPr>
          <w:p>
            <w:pPr/>
            <w:r>
              <w:rPr/>
              <w:t xml:space="preserve">Advanced Mezzanine Card; форм-фактор и интерфейсный модуль по PICMG AMC.0 R2.0.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ПЛИС</w:t>
            </w:r>
          </w:p>
        </w:tc>
        <w:tc>
          <w:tcPr>
            <w:tcW w:w="4500" w:type="dxa"/>
          </w:tcPr>
          <w:p>
            <w:pPr/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B2B</w:t>
            </w:r>
          </w:p>
        </w:tc>
        <w:tc>
          <w:tcPr>
            <w:tcW w:w="4500" w:type="dxa"/>
          </w:tcPr>
          <w:p>
            <w:pPr/>
            <w:r>
              <w:rPr/>
              <w:t xml:space="preserve">Межплатное соединение субплаты с базовой платой.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Board ID</w:t>
            </w:r>
          </w:p>
        </w:tc>
        <w:tc>
          <w:tcPr>
            <w:tcW w:w="4500" w:type="dxa"/>
          </w:tcPr>
          <w:p>
            <w:pPr/>
            <w:r>
              <w:rPr/>
              <w:t xml:space="preserve">Идентификатор субплаты, хранимый в EEPROM; для изделия — 0x05.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MMC</w:t>
            </w:r>
          </w:p>
        </w:tc>
        <w:tc>
          <w:tcPr>
            <w:tcW w:w="4500" w:type="dxa"/>
          </w:tcPr>
          <w:p>
            <w:pPr/>
            <w:r>
              <w:rPr/>
              <w:t xml:space="preserve">Модуль управления модулем AMC.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РМО</w:t>
            </w:r>
          </w:p>
        </w:tc>
        <w:tc>
          <w:tcPr>
            <w:tcW w:w="4500" w:type="dxa"/>
          </w:tcPr>
          <w:p>
            <w:pPr/>
            <w:r>
              <w:rPr/>
              <w:t xml:space="preserve">Рабочее место оператора.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ОКР</w:t>
            </w:r>
          </w:p>
        </w:tc>
        <w:tc>
          <w:tcPr>
            <w:tcW w:w="4500" w:type="dxa"/>
          </w:tcPr>
          <w:p>
            <w:pPr/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РКД</w:t>
            </w:r>
          </w:p>
        </w:tc>
        <w:tc>
          <w:tcPr>
            <w:tcW w:w="4500" w:type="dxa"/>
          </w:tcPr>
          <w:p>
            <w:pPr/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ПМИ</w:t>
            </w:r>
          </w:p>
        </w:tc>
        <w:tc>
          <w:tcPr>
            <w:tcW w:w="4500" w:type="dxa"/>
          </w:tcPr>
          <w:p>
            <w:pPr/>
            <w:r>
              <w:rPr/>
              <w:t xml:space="preserve">Программа и методика испытаний.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ОТК</w:t>
            </w:r>
          </w:p>
        </w:tc>
        <w:tc>
          <w:tcPr>
            <w:tcW w:w="4500" w:type="dxa"/>
          </w:tcPr>
          <w:p>
            <w:pPr/>
            <w:r>
              <w:rPr/>
              <w:t xml:space="preserve">Отдел технического контроля.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ЭКБ</w:t>
            </w:r>
          </w:p>
        </w:tc>
        <w:tc>
          <w:tcPr>
            <w:tcW w:w="4500" w:type="dxa"/>
          </w:tcPr>
          <w:p>
            <w:pPr/>
            <w:r>
              <w:rPr/>
              <w:t xml:space="preserve">Электронная компонентная база.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РЗА / ДЗЛ / ДФЗ</w:t>
            </w:r>
          </w:p>
        </w:tc>
        <w:tc>
          <w:tcPr>
            <w:tcW w:w="4500" w:type="dxa"/>
          </w:tcPr>
          <w:p>
            <w:pPr/>
            <w:r>
              <w:rPr/>
              <w:t xml:space="preserve">Релейная защита и автоматика / дифференциальная защита линии / дифференциально-фазная защита.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CDR</w:t>
            </w:r>
          </w:p>
        </w:tc>
        <w:tc>
          <w:tcPr>
            <w:tcW w:w="4500" w:type="dxa"/>
          </w:tcPr>
          <w:p>
            <w:pPr/>
            <w:r>
              <w:rPr/>
              <w:t xml:space="preserve">Восстановление тактовой частоты и данных.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DDM/DOM</w:t>
            </w:r>
          </w:p>
        </w:tc>
        <w:tc>
          <w:tcPr>
            <w:tcW w:w="4500" w:type="dxa"/>
          </w:tcPr>
          <w:p>
            <w:pPr/>
            <w:r>
              <w:rPr/>
              <w:t xml:space="preserve">Цифровой диагностический мониторинг / цифровой оптический мониторинг.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LOS / LOF</w:t>
            </w:r>
          </w:p>
        </w:tc>
        <w:tc>
          <w:tcPr>
            <w:tcW w:w="4500" w:type="dxa"/>
          </w:tcPr>
          <w:p>
            <w:pPr/>
            <w:r>
              <w:rPr/>
              <w:t xml:space="preserve">Потеря сигнала / потеря кадра.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P2</w:t>
            </w:r>
          </w:p>
        </w:tc>
        <w:tc>
          <w:tcPr>
            <w:tcW w:w="4500" w:type="dxa"/>
          </w:tcPr>
          <w:p>
            <w:pPr/>
            <w:r>
              <w:rPr/>
              <w:t xml:space="preserve">Hitless 1+1: передача двух идентичных копий по независимым трактам с дедупликацией.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TCLK</w:t>
            </w:r>
          </w:p>
        </w:tc>
        <w:tc>
          <w:tcPr>
            <w:tcW w:w="4500" w:type="dxa"/>
          </w:tcPr>
          <w:p>
            <w:pPr/>
            <w:r>
              <w:rPr/>
              <w:t xml:space="preserve">Тактовый сигнал 19,44 МГц.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PTPv2</w:t>
            </w:r>
          </w:p>
        </w:tc>
        <w:tc>
          <w:tcPr>
            <w:tcW w:w="4500" w:type="dxa"/>
          </w:tcPr>
          <w:p>
            <w:pPr/>
            <w:r>
              <w:rPr/>
              <w:t xml:space="preserve">Версия 2 протокола точного времени.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PDV</w:t>
            </w:r>
          </w:p>
        </w:tc>
        <w:tc>
          <w:tcPr>
            <w:tcW w:w="4500" w:type="dxa"/>
          </w:tcPr>
          <w:p>
            <w:pPr/>
            <w:r>
              <w:rPr/>
              <w:t xml:space="preserve">Изменение задержки передачи пакетов.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PRBS</w:t>
            </w:r>
          </w:p>
        </w:tc>
        <w:tc>
          <w:tcPr>
            <w:tcW w:w="4500" w:type="dxa"/>
          </w:tcPr>
          <w:p>
            <w:pPr/>
            <w:r>
              <w:rPr/>
              <w:t xml:space="preserve">Псевдослучайная двоичная последовательность.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QoS</w:t>
            </w:r>
          </w:p>
        </w:tc>
        <w:tc>
          <w:tcPr>
            <w:tcW w:w="4500" w:type="dxa"/>
          </w:tcPr>
          <w:p>
            <w:pPr/>
            <w:r>
              <w:rPr/>
              <w:t xml:space="preserve">Приоритизация обслуживания трафика.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I2C</w:t>
            </w:r>
          </w:p>
        </w:tc>
        <w:tc>
          <w:tcPr>
            <w:tcW w:w="4500" w:type="dxa"/>
          </w:tcPr>
          <w:p>
            <w:pPr/>
            <w:r>
              <w:rPr/>
              <w:t xml:space="preserve">Последовательный интерфейс управления.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TX / RX</w:t>
            </w:r>
          </w:p>
        </w:tc>
        <w:tc>
          <w:tcPr>
            <w:tcW w:w="4500" w:type="dxa"/>
          </w:tcPr>
          <w:p>
            <w:pPr/>
            <w:r>
              <w:rPr/>
              <w:t xml:space="preserve">Передача / приём.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L2 / L3</w:t>
            </w:r>
          </w:p>
        </w:tc>
        <w:tc>
          <w:tcPr>
            <w:tcW w:w="4500" w:type="dxa"/>
          </w:tcPr>
          <w:p>
            <w:pPr/>
            <w:r>
              <w:rPr/>
              <w:t xml:space="preserve">Канальный / сетевой уровень передачи.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SoC FPGA</w:t>
            </w:r>
          </w:p>
        </w:tc>
        <w:tc>
          <w:tcPr>
            <w:tcW w:w="4500" w:type="dxa"/>
          </w:tcPr>
          <w:p>
            <w:pPr/>
            <w:r>
              <w:rPr/>
              <w:t xml:space="preserve">ПЛИС с процессорным ядром.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MIB</w:t>
            </w:r>
          </w:p>
        </w:tc>
        <w:tc>
          <w:tcPr>
            <w:tcW w:w="4500" w:type="dxa"/>
          </w:tcPr>
          <w:p>
            <w:pPr/>
            <w:r>
              <w:rPr/>
              <w:t xml:space="preserve">База управляющей информации.</w:t>
            </w:r>
          </w:p>
        </w:tc>
      </w:tr>
    </w:tbl>
    <w:p>
      <w:pPr>
        <w:pStyle w:val="Heading1"/>
        <w:jc w:val="center"/>
      </w:pPr>
      <w:r>
        <w:rPr>
          <w:b/>
        </w:rPr>
        <w:t xml:space="preserve">ПЕРЕЧЕНЬ ПРИМЕНИМЫХ НОРМАТИВНЫХ И СПРАВОЧНЫХ ДОКУМЕНТОВ</w:t>
      </w:r>
    </w:p>
    <w:p>
      <w:pPr/>
      <w:r>
        <w:rPr/>
        <w:t xml:space="preserve">При разработке и проверке применяют следующие документы. Наименования, не приведённые в исходных данных, не расшифровываются в настоящем ТЗ.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rPr>
                <w:b/>
              </w:rPr>
              <w:t xml:space="preserve">Обозначение</w:t>
            </w:r>
          </w:p>
        </w:tc>
        <w:tc>
          <w:tcPr>
            <w:tcW w:w="4500" w:type="dxa"/>
          </w:tcPr>
          <w:p>
            <w:pPr/>
            <w:r>
              <w:rPr>
                <w:b/>
              </w:rPr>
              <w:t xml:space="preserve">Статус применения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ГОСТ 15.016—2016 «Система разработки и постановки продукции на производство. Техническое задание. Требования к содержанию и оформлению»</w:t>
            </w:r>
          </w:p>
        </w:tc>
        <w:tc>
          <w:tcPr>
            <w:tcW w:w="4500" w:type="dxa"/>
          </w:tcPr>
          <w:p>
            <w:pPr/>
            <w:r>
              <w:rPr/>
              <w:t xml:space="preserve">Применяется в части разделов 6.1, 6.2 и 7.1 к ТЗ на составную часть ОКР.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IEEE C37.94-2017</w:t>
            </w:r>
          </w:p>
        </w:tc>
        <w:tc>
          <w:tcPr>
            <w:tcW w:w="4500" w:type="dxa"/>
          </w:tcPr>
          <w:p>
            <w:pPr/>
            <w:r>
              <w:rPr/>
              <w:t xml:space="preserve">Применимый нормативный документ; требуется совместимость с IEEE C37.94-2002.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IEEE C37.94-2002</w:t>
            </w:r>
          </w:p>
        </w:tc>
        <w:tc>
          <w:tcPr>
            <w:tcW w:w="4500" w:type="dxa"/>
          </w:tcPr>
          <w:p>
            <w:pPr/>
            <w:r>
              <w:rPr/>
              <w:t xml:space="preserve">Документ совместимости.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ITU-T G.823; SFF-8472; IEEE 802.1p/Q; PICMG AMC.0 R2.0</w:t>
            </w:r>
          </w:p>
        </w:tc>
        <w:tc>
          <w:tcPr>
            <w:tcW w:w="4500" w:type="dxa"/>
          </w:tcPr>
          <w:p>
            <w:pPr/>
            <w:r>
              <w:rPr/>
              <w:t xml:space="preserve">Применимые нормативные и интерфейсные документы.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ГОСТ РВ 20.39.304-98; ГОСТ В 25803-91; ГОСТ 2.114-2016; ГОСТ РВ 15.201-2003; ГОСТ 15150</w:t>
            </w:r>
          </w:p>
        </w:tc>
        <w:tc>
          <w:tcPr>
            <w:tcW w:w="4500" w:type="dxa"/>
          </w:tcPr>
          <w:p>
            <w:pPr/>
            <w:r>
              <w:rPr/>
              <w:t xml:space="preserve">Применимые нормативные документы.</w:t>
            </w:r>
          </w:p>
        </w:tc>
      </w:tr>
    </w:tbl>
    <w:p>
      <w:pPr>
        <w:pStyle w:val="Heading1"/>
        <w:jc w:val="center"/>
      </w:pPr>
      <w:r>
        <w:rPr>
          <w:b/>
        </w:rPr>
        <w:t xml:space="preserve">1 Наименование, шифр, основание, исполнители и сроки ОКР</w:t>
      </w:r>
    </w:p>
    <w:p>
      <w:pPr/>
      <w:r>
        <w:rPr/>
        <w:t xml:space="preserve">1.1 Наименование составной части ОКР: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/>
      <w:r>
        <w:rPr/>
        <w:t xml:space="preserve">1.2 Шифр ОКР — «Развитие-ТСА».</w:t>
      </w:r>
    </w:p>
    <w:p>
      <w:pPr/>
      <w:r>
        <w:rPr/>
        <w:t xml:space="preserve">1.3 Основание выполнения: приказ об открытии инициативной ОКР № [уточнить] от [уточнить].</w:t>
      </w:r>
    </w:p>
    <w:p>
      <w:pPr/>
      <w:r>
        <w:rPr/>
        <w:t xml:space="preserve">1.4 Исполнитель составной части ОКР — [организация-исполнитель]. Головной исполнитель ОКР — [уточнить].</w:t>
      </w:r>
    </w:p>
    <w:p>
      <w:pPr/>
      <w:r>
        <w:rPr/>
        <w:t xml:space="preserve">1.5 Сроки разработки РКД, программной документации, изготовления образцов и испытаний устанавливаются утверждённым планом-графиком. Даты начала и окончания — [уточнить].</w:t>
      </w:r>
    </w:p>
    <w:p>
      <w:pPr/>
      <w:r>
        <w:rPr/>
        <w:t xml:space="preserve">1.6 Требования ТЗ головной ОКР, необходимые для проверки согласованности требований настоящей составной части с ОКР в целом, не представлены — [уточнить].</w:t>
      </w:r>
    </w:p>
    <w:p>
      <w:pPr>
        <w:pStyle w:val="Heading1"/>
        <w:jc w:val="center"/>
      </w:pPr>
      <w:r>
        <w:rPr>
          <w:b/>
        </w:rPr>
        <w:t xml:space="preserve">2 Цель выполнения, наименование, назначение и область применения изделия</w:t>
      </w:r>
    </w:p>
    <w:p>
      <w:pPr/>
      <w:r>
        <w:rPr/>
        <w:t xml:space="preserve">2.1 Целью является создание сменной интерфейсной субплаты 4×IEEE C37.94 и функционального модуля релейной защиты для AMC семейства ДММП.</w:t>
      </w:r>
    </w:p>
    <w:p>
      <w:pPr/>
      <w:r>
        <w:rPr/>
        <w:t xml:space="preserve">2.2 Изделие предназначено для обеспечения оптических каналов терминалов РЗА/ДЗЛ и ДФЗ, противоаварийной автоматики и регистраторов аварийных событий подстанций ДММП. Изделие обеспечивает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pPr/>
      <w:r>
        <w:rPr/>
        <w:t xml:space="preserve">2.3 Аппаратная часть включает субплату, интерфейсы, защитные цепи, трансиверы и EEPROM. Логическая часть — функциональный модуль ПЛИС базовой платы, автоматически активируемый по Board ID. Модуль AMC устанавливается на Carrier платформы ДММП.</w:t>
      </w:r>
    </w:p>
    <w:p>
      <w:pPr>
        <w:pStyle w:val="Heading1"/>
        <w:jc w:val="center"/>
      </w:pPr>
      <w:r>
        <w:rPr>
          <w:b/>
        </w:rPr>
        <w:t xml:space="preserve">3 Технические требования к изделию</w:t>
      </w:r>
    </w:p>
    <w:p>
      <w:pPr>
        <w:pStyle w:val="Heading2"/>
      </w:pPr>
      <w:r>
        <w:rPr>
          <w:b/>
        </w:rPr>
        <w:t xml:space="preserve">3.1 Архитектура и оптические интерфейсы</w:t>
      </w:r>
    </w:p>
    <w:p>
      <w:pPr/>
      <w:r>
        <w:rPr/>
        <w:t xml:space="preserve">3.1.1 Субплата должна содержать четыре независимых оптических порта LC/SFP, трансиверы 850/1310 нм с CDR, защитные цепи, DDM/DOM, EEPROM с Board ID 0x05 и индикацию. Связь с базовой платой должна выполняться по B2B.</w:t>
      </w:r>
    </w:p>
    <w:p>
      <w:pPr/>
      <w:r>
        <w:rPr/>
        <w:t xml:space="preserve">3.1.2 Базовая плата должна предоставлять субплате напряжения +12 В и +3,3 В, MMC, тактирование и автоматическую загрузку bitstream из Flash по Board ID.</w:t>
      </w:r>
    </w:p>
    <w:p>
      <w:pPr/>
      <w:r>
        <w:rPr/>
        <w:t xml:space="preserve">3.1.3 Каждый порт должен иметь экранированную корзину SFP или дуплексный разъём LC с отдельными волокнами TX и RX. Варианты LC и SFP являются альтернативами; окончательное исполнение — [уточнить].</w:t>
      </w:r>
    </w:p>
    <w:p>
      <w:pPr/>
      <w:r>
        <w:rPr/>
        <w:t xml:space="preserve">3.1.4 Для оптики 850 нм должны поддерживаться многомодовые волокна 50/125 или 62,5/125 мкм на расстоянии до 2 км. Для оптики 1310 нм должно поддерживаться одномодовое волокно 9/125 мкм на расстоянии 20–40 км.</w:t>
      </w:r>
    </w:p>
    <w:p>
      <w:pPr/>
      <w:r>
        <w:rPr/>
        <w:t xml:space="preserve">3.1.5 Должны быть предусмотрены линии TX_DISABLE, TX_FAULT и RX_LOS. DDM/DOM должны опрашиваться по I2C согласно SFF-8472. Должны контролироваться мощность TX/RX, температура и ток лазера с передачей телеметрии в РМО.</w:t>
      </w:r>
    </w:p>
    <w:p>
      <w:pPr/>
      <w:r>
        <w:rPr/>
        <w:t xml:space="preserve">3.1.6 На каждом порту независимо должно поддерживаться N = 1…12 каналов по 64 кбит/с; полезная скорость — 64–768 кбит/с, кадровый поток — 2048 кбит/с. Должно обеспечиваться соответствие IEEE C37.94-2017 и совместимость с IEEE C37.94-2002 без изменения или инверсии пользовательских битов.</w:t>
      </w:r>
    </w:p>
    <w:p>
      <w:pPr>
        <w:pStyle w:val="Heading2"/>
      </w:pPr>
      <w:r>
        <w:rPr>
          <w:b/>
        </w:rPr>
        <w:t xml:space="preserve">3.2 Пакетная передача, резервирование и безопасные состояния</w:t>
      </w:r>
    </w:p>
    <w:p>
      <w:pPr/>
      <w:r>
        <w:rPr/>
        <w:t xml:space="preserve">3.2.1 C37.94-over-Packet должен использовать Ethernet L2, фиксированный период пакетизации, Fabric 10GbE и Strict Priority QoS по IEEE 802.1p/Q.</w:t>
      </w:r>
    </w:p>
    <w:p>
      <w:pPr/>
      <w:r>
        <w:rPr/>
        <w:t xml:space="preserve">3.2.2 Применение L3/UDP/IP допускается при необходимости с процессорным ядром SoC FPGA либо со статической аппаратной подстановкой заголовка.</w:t>
      </w:r>
    </w:p>
    <w:p>
      <w:pPr/>
      <w:r>
        <w:rPr/>
        <w:t xml:space="preserve">3.2.3 Задержка должна быть фиксированной и детерминированной. Асимметрия прямого и обратного направлений должна быть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pPr/>
      <w:r>
        <w:rPr/>
        <w:t xml:space="preserve">3.2.4 Ретрансляция потерянных пакетов запрещается. Единичный пропуск должен фиксироваться как ошибка и обозначаться Yellow Alarm / LOF. Превышение настраиваемого порога последовательных потерь должно вызывать Laser Off. Значения абсолютной задержки, числа потерь и порога последовательных потерь — [уточнить].</w:t>
      </w:r>
    </w:p>
    <w:p>
      <w:pPr/>
      <w:r>
        <w:rPr/>
        <w:t xml:space="preserve">3.2.5 P2 должен реализовываться как Hitless 1+1: две идентичные копии передаются по независимым трактам с поштучной дедупликацией; при отказе одного пути потеря битов не допускается.</w:t>
      </w:r>
    </w:p>
    <w:p>
      <w:pPr/>
      <w:r>
        <w:rPr/>
        <w:t xml:space="preserve">3.2.6 При LOS/LOF либо потере сетевого тракта должен формироваться Yellow Alarm или выполняться немедленный Laser Off. Не допускаются недостоверные, случайные и повторно воспроизведённые устаревшие данные РЗА. Условия выбора безопасного состояния при сохранении второго пути — [уточнить].</w:t>
      </w:r>
    </w:p>
    <w:p>
      <w:pPr>
        <w:pStyle w:val="Heading2"/>
      </w:pPr>
      <w:r>
        <w:rPr>
          <w:b/>
        </w:rPr>
        <w:t xml:space="preserve">3.3 Тактирование, диагностика, конструкция, стойкость и надёжность</w:t>
      </w:r>
    </w:p>
    <w:p>
      <w:pPr/>
      <w:r>
        <w:rPr/>
        <w:t xml:space="preserve">3.3.1 Каждый порт должен поддерживать режимы тактирования: Loop timing от входного сигнала, TCLK 19,44 МГц, PTPv2 и локальный Holdover. Восстановленные 2048 кГц выбранного порта должны выдаваться в RX_CLK. Джиттер/вандер должны соответствовать ITU-T G.823.</w:t>
      </w:r>
    </w:p>
    <w:p>
      <w:pPr/>
      <w:r>
        <w:rPr/>
        <w:t xml:space="preserve">3.3.2 Должны контролироваться LOS, LOF, Yellow Alarm, битовые ошибки и DDM. На каждом порту должны быть предусмотрены Optical Loopback, Payload Loopback и Ethernet Packet Loopback, а также генератор/анализатор PRBS 215−1 и 223−1.</w:t>
      </w:r>
    </w:p>
    <w:p>
      <w:pPr/>
      <w:r>
        <w:rPr/>
        <w:t xml:space="preserve">3.3.3 Потребляемая мощность субплаты должна быть не более 12 Вт; потребляемая мощность сборки с базовой платой — не более 35 Вт.</w:t>
      </w:r>
    </w:p>
    <w:p>
      <w:pPr/>
      <w:r>
        <w:rPr/>
        <w:t xml:space="preserve">3.3.4 Конструктивное исполнение — Single Full-size AMC.0, габаритные размеры 73,5 × 180,6 × 28,95 мм. Межплатное крепление должно выполняться на 4–6 металлических стойках М2,5.</w:t>
      </w:r>
    </w:p>
    <w:p>
      <w:pPr/>
      <w:r>
        <w:rPr/>
        <w:t xml:space="preserve">3.3.5 Стойкость должна соответствовать ГОСТ РВ 20.39.304-98: группы 1.1, 1.3, 1.4.1, исполнение «О»; рабочая температура −10…+50 °C, предельная температура −40…+65 °C, синусоидальная вибрация 5g, удары 15g. Радиопомехи — группа 1.1.1 ГОСТ В 25803-91.</w:t>
      </w:r>
    </w:p>
    <w:p>
      <w:pPr/>
      <w:r>
        <w:rPr/>
        <w:t xml:space="preserve">3.3.6 Средняя наработка на отказ должна быть не менее 15 000 ч. Назначенный срок службы должен быть не менее 20 лет.</w:t>
      </w:r>
    </w:p>
    <w:p>
      <w:pPr>
        <w:pStyle w:val="Heading2"/>
      </w:pPr>
      <w:r>
        <w:rPr>
          <w:b/>
        </w:rPr>
        <w:t xml:space="preserve">3.4 Проверка существенных требований и безопасных режимов</w:t>
      </w:r>
    </w:p>
    <w:p>
      <w:pPr/>
      <w:r>
        <w:rPr/>
        <w:t xml:space="preserve">3.4.1 Проверке подлежат состав, Board ID, питание, B2B, интерфейсы, число каналов N, скорости, прозрачность пользовательских битов, режимы тактирования, формирование RX_CLK, DDM/DOM, петли, PRBS, потребляемая мощность, габаритные размеры, крепление, стойкость и показатели надёжности — методами, предусмотренными ПМИ [уточнить].</w:t>
      </w:r>
    </w:p>
    <w:p>
      <w:pPr/>
      <w:r>
        <w:rPr/>
        <w:t xml:space="preserve">3.4.2 Проверке подлежат фиксированность и детерминированность задержки, асимметрия не более ±10 мкс, компенсация PDV без выпадения кадров, запрет ретрансляции, фиксация единичного пропуска, реакции Yellow Alarm / LOF / Laser Off, P2 и отсутствие потери битов при отказе одного пути. Условия, стимулы, средства, абсолютная задержка, число потерь, порог последовательных потерь и критерии выбора Yellow Alarm либо Laser Off — [уточнить].</w:t>
      </w:r>
    </w:p>
    <w:p>
      <w:pPr>
        <w:pStyle w:val="Heading1"/>
        <w:jc w:val="center"/>
      </w:pPr>
      <w:r>
        <w:rPr>
          <w:b/>
        </w:rPr>
        <w:t xml:space="preserve">4 Технико-экономические требования</w:t>
      </w:r>
    </w:p>
    <w:p>
      <w:pPr/>
      <w:r>
        <w:rPr/>
        <w:t xml:space="preserve">4.1 Технико-экономические требования не предъявляются.</w:t>
      </w:r>
    </w:p>
    <w:p>
      <w:pPr>
        <w:pStyle w:val="Heading1"/>
        <w:jc w:val="center"/>
      </w:pPr>
      <w:r>
        <w:rPr>
          <w:b/>
        </w:rPr>
        <w:t xml:space="preserve">5 Требования к видам обеспечения</w:t>
      </w:r>
    </w:p>
    <w:p>
      <w:pPr>
        <w:pStyle w:val="Heading2"/>
      </w:pPr>
      <w:r>
        <w:rPr>
          <w:b/>
        </w:rPr>
        <w:t xml:space="preserve">5.1 Нормативное обеспечение</w:t>
      </w:r>
    </w:p>
    <w:p>
      <w:pPr/>
      <w:r>
        <w:rPr/>
        <w:t xml:space="preserve">5.1.1 Нормативное обеспечение должно выполняться с применением документов, перечисленных в перечне применимых нормативных и справочных документов настоящего ТЗ.</w:t>
      </w:r>
    </w:p>
    <w:p>
      <w:pPr>
        <w:pStyle w:val="Heading2"/>
      </w:pPr>
      <w:r>
        <w:rPr>
          <w:b/>
        </w:rPr>
        <w:t xml:space="preserve">5.2 Метрологическое обеспечение</w:t>
      </w:r>
    </w:p>
    <w:p>
      <w:pPr/>
      <w:r>
        <w:rPr/>
        <w:t xml:space="preserve">5.2.1 Должны быть предусмотрены средства и методики измерения оптической мощности, джиттера по ITU-T G.823, сквозной задержки и асимметрии. Допуски измерений, не заданные настоящим ТЗ, — [уточнить].</w:t>
      </w:r>
    </w:p>
    <w:p>
      <w:pPr>
        <w:pStyle w:val="Heading2"/>
      </w:pPr>
      <w:r>
        <w:rPr>
          <w:b/>
        </w:rPr>
        <w:t xml:space="preserve">5.3 Диагностическое обеспечение</w:t>
      </w:r>
    </w:p>
    <w:p>
      <w:pPr/>
      <w:r>
        <w:rPr/>
        <w:t xml:space="preserve">5.3.1 Должны обеспечиваться регистрация DDM, LOS/LOF/Yellow Alarm и статистики задержки, а также формирование сообщений и отчётов для РМО.</w:t>
      </w:r>
    </w:p>
    <w:p>
      <w:pPr>
        <w:pStyle w:val="Heading2"/>
      </w:pPr>
      <w:r>
        <w:rPr>
          <w:b/>
        </w:rPr>
        <w:t xml:space="preserve">5.4 Программное обеспечение</w:t>
      </w:r>
    </w:p>
    <w:p>
      <w:pPr/>
      <w:r>
        <w:rPr/>
        <w:t xml:space="preserve">5.4.1 Должны быть разработаны bitstream функционального модуля для Flash базовой платы, драйверы Linux и MIB для РМО.</w:t>
      </w:r>
    </w:p>
    <w:p>
      <w:pPr>
        <w:pStyle w:val="Heading1"/>
        <w:jc w:val="center"/>
      </w:pPr>
      <w:r>
        <w:rPr>
          <w:b/>
        </w:rPr>
        <w:t xml:space="preserve">6 Требования к сырью, материалам и комплектующим изделиям</w:t>
      </w:r>
    </w:p>
    <w:p>
      <w:pPr/>
      <w:r>
        <w:rPr/>
        <w:t xml:space="preserve">6.1 При создании изделия должен обеспечиваться приоритет отечественных материалов и комплектующих изделий с приёмкой ОТК.</w:t>
      </w:r>
    </w:p>
    <w:p>
      <w:pPr/>
      <w:r>
        <w:rPr/>
        <w:t xml:space="preserve">6.2 При отсутствии аналогов допускается применение импортной ЭКБ промышленного температурного диапазона.</w:t>
      </w:r>
    </w:p>
    <w:p>
      <w:pPr>
        <w:pStyle w:val="Heading1"/>
        <w:jc w:val="center"/>
      </w:pPr>
      <w:r>
        <w:rPr>
          <w:b/>
        </w:rPr>
        <w:t xml:space="preserve">7 Требования к консервации, упаковке и маркировке</w:t>
      </w:r>
    </w:p>
    <w:p>
      <w:pPr/>
      <w:r>
        <w:rPr/>
        <w:t xml:space="preserve">7.1 На изделии должны быть предусмотрены децимальный номер, серийный номер, ревизия и маркировка портов C37-1…C37-4.</w:t>
      </w:r>
    </w:p>
    <w:p>
      <w:pPr/>
      <w:r>
        <w:rPr/>
        <w:t xml:space="preserve">7.2 Оптические разъёмы должны быть защищены колпачками.</w:t>
      </w:r>
    </w:p>
    <w:p>
      <w:pPr/>
      <w:r>
        <w:rPr/>
        <w:t xml:space="preserve">7.3 Хранение в заводской таре должно быть обеспечено не менее 1 года по ГОСТ 15150. Условия и методы консервации, не заданные настоящим ТЗ, — [уточнить].</w:t>
      </w:r>
    </w:p>
    <w:p>
      <w:pPr>
        <w:pStyle w:val="Heading1"/>
        <w:jc w:val="center"/>
      </w:pPr>
      <w:r>
        <w:rPr>
          <w:b/>
        </w:rPr>
        <w:t xml:space="preserve">8 Специальные требования</w:t>
      </w:r>
    </w:p>
    <w:p>
      <w:pPr/>
      <w:r>
        <w:rPr/>
        <w:t xml:space="preserve">8.1 Телеметрия РМО (C++/Qt) должна содержать мнемосхему четырёх портов, N, DDM в дБм, LOS/LOF/Yellow Alarm, задержку, асимметрию и статус P2.</w:t>
      </w:r>
    </w:p>
    <w:p>
      <w:pPr/>
      <w:r>
        <w:rPr/>
        <w:t xml:space="preserve">8.2 Должны быть предусмотрены команды настройки N, режима тактирования и P2, управления петлями и запуска PRBS.</w:t>
      </w:r>
    </w:p>
    <w:p>
      <w:pPr/>
      <w:r>
        <w:rPr/>
        <w:t xml:space="preserve">8.3 Проверка телеметрии и команд должна подтверждать отображение и передачу предусмотренных в 8.1 параметров и выполнение предусмотренных в 8.2 команд. Порядок проверки, условия и средства — [уточнить].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 xml:space="preserve">ПОСЛЕДНИЙ ЛИСТ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rPr>
                <w:b/>
              </w:rPr>
              <w:t xml:space="preserve">Разработчик ТЗДолжность: [уточнить]________________ / [уточнить]«___» ____________ 20__ г.</w:t>
            </w:r>
          </w:p>
        </w:tc>
        <w:tc>
          <w:tcPr>
            <w:tcW w:w="4500" w:type="dxa"/>
          </w:tcPr>
          <w:p>
            <w:pPr/>
            <w:r>
              <w:rPr>
                <w:b/>
              </w:rPr>
              <w:t xml:space="preserve">Исполнитель составной части ОКР[организация-исполнитель]________________ / [уточнить]«___» ____________ 20__ г.</w:t>
            </w:r>
          </w:p>
        </w:tc>
      </w:tr>
    </w:tbl>
    <w:p>
      <w:pPr/>
      <w:r>
        <w:rPr/>
        <w:t xml:space="preserve">СОГЛАСОВАНО</w:t>
      </w:r>
    </w:p>
    <w:p>
      <w:pPr/>
      <w:r>
        <w:rPr/>
        <w:t xml:space="preserve">Заказчик либо НИО заказчика: ____________________ / [уточнить]     «___» ____________ 20__ г.</w:t>
      </w:r>
    </w:p>
    <w:sectPr>
      <w:headerReference w:type="default" r:id="rId1"/>
      <w:pgSz w:w="11906" w:h="16838"/>
      <w:pgMar w:top="1134" w:right="1134" w:bottom="1134" w:left="1417" w:header="567" w:footer="567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  <w:qFormat/>
    <w:pPr>
      <w:spacing w:after="100" w:line="300" w:lineRule="auto"/>
      <w:jc w:val="both"/>
    </w:pPr>
  </w:style>
  <w:style w:type="paragraph" w:styleId="Heading1">
    <w:name w:val="Heading 1"/>
    <w:basedOn w:val="Normal"/>
    <w:next w:val="Normal"/>
    <w:qFormat/>
    <w:pPr>
      <w:spacing w:before="240" w:after="160"/>
      <w:keepNext/>
      <w:keepLines/>
      <w:jc w:val="center"/>
    </w:pPr>
    <w:rPr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100"/>
      <w:keepNext/>
      <w:keepLines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«Развитие-ТСА»</dc:title>
  <dc:creator>[уточнить]</dc:creator>
  <dcterms:created xsi:type="dcterms:W3CDTF">2026-10-03T00:00:00Z</dcterms:created>
</cp:coreProperties>
</file>