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/>
    <w:p/>
    <w:p>
      <w:r>
        <w:rPr>
          <w:b/>
        </w:rPr>
        <w:t xml:space="preserve">УТВЕРЖДЕНО
</w:t>
      </w:r>
      <w:r>
        <w:t xml:space="preserve">[должность] __________________ [ФИО]
</w:t>
      </w:r>
      <w:r>
        <w:rPr>
          <w:i/>
        </w:rPr>
        <w:t xml:space="preserve">«___» __________ 20__ г.</w:t>
      </w:r>
    </w:p>
    <w:p/>
    <w:p/>
    <w:p/>
    <w:p/>
    <w:p>
      <w:r>
        <w:rPr>
          <w:b/>
        </w:rPr>
        <w:t xml:space="preserve">ТЕХНИЧЕСКОЕ ЗАДАНИЕ
</w:t>
      </w:r>
      <w:r>
        <w:rPr>
          <w:b/>
        </w:rPr>
        <w:t xml:space="preserve">на разработку составной части ОКР
</w:t>
      </w:r>
      <w:r>
        <w:t xml:space="preserve">сменной интерфейсной субплаты 8×E1 и функционального модуля E1
для универсального базового модуля AMC семейства ДММП</w:t>
      </w:r>
    </w:p>
    <w:p/>
    <w:p/>
    <w:p/>
    <w:p>
      <w:r>
        <w:t xml:space="preserve">Шифр ОКР: «Развитие-ТСА»
Регистрационный номер: [уточнить]
Проект ТЗ</w:t>
      </w:r>
    </w:p>
    <w:p/>
    <w:p/>
    <w:p/>
    <w:p/>
    <w:p>
      <w:r>
        <w:t xml:space="preserve">Москва
20__</w:t>
      </w:r>
    </w:p>
    <w:p>
      <w:r>
        <w:br w:type="page"/>
      </w:r>
    </w:p>
    <w:p>
      <w:pPr>
        <w:pStyle w:val="Heading1"/>
      </w:pPr>
      <w:r>
        <w:t xml:space="preserve">ЛИСТ СОГЛАСОВАНИЯ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Роль / организация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Должность, ФИО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Подпись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3000" w:type="dxa"/>
          </w:tcPr>
          <w:p>
            <w:r>
              <w:t xml:space="preserve">Головной исполнитель ОКР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____________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</w:tr>
      <w:tr>
        <w:tc>
          <w:tcPr>
            <w:tcW w:w="3000" w:type="dxa"/>
          </w:tcPr>
          <w:p>
            <w:r>
              <w:t xml:space="preserve">Исполнитель СЧ ОКР — ООО «тушканчик»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____________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</w:tr>
      <w:tr>
        <w:tc>
          <w:tcPr>
            <w:tcW w:w="3000" w:type="dxa"/>
          </w:tcPr>
          <w:p>
            <w:r>
              <w:t xml:space="preserve">Заказчик либо НИО заказчика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____________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</w:tr>
      <w:tr>
        <w:tc>
          <w:tcPr>
            <w:tcW w:w="3000" w:type="dxa"/>
          </w:tcPr>
          <w:p>
            <w:r>
              <w:t xml:space="preserve">Другие согласующие организации</w:t>
            </w:r>
          </w:p>
        </w:tc>
        <w:tc>
          <w:tcPr>
            <w:tcW w:w="3000" w:type="dxa"/>
          </w:tcPr>
          <w:p>
            <w:r>
              <w:t xml:space="preserve">[при необходимости уточнить]</w:t>
            </w:r>
          </w:p>
        </w:tc>
        <w:tc>
          <w:tcPr>
            <w:tcW w:w="3000" w:type="dxa"/>
          </w:tcPr>
          <w:p>
            <w:r>
              <w:t xml:space="preserve">____________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</w:tr>
    </w:tbl>
    <w:p/>
    <w:p>
      <w:r>
        <w:rPr>
          <w:b/>
        </w:rPr>
        <w:t xml:space="preserve">Примечание. </w:t>
      </w:r>
      <w:r>
        <w:t xml:space="preserve">Согласование и утверждение выполняются в порядке, установленном для ТЗ на составную часть ОКР. Уровни должностных лиц и состав иных согласующих организаций не заданы — [уточнить].</w:t>
      </w:r>
    </w:p>
    <w:p>
      <w:r>
        <w:br w:type="page"/>
      </w:r>
    </w:p>
    <w:p>
      <w:pPr>
        <w:pStyle w:val="Heading1"/>
      </w:pPr>
      <w:r>
        <w:t xml:space="preserve">ОБОЗНАЧЕНИЯ И СОКРАЩЕНИЯ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Обозначение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Раскрытие / значение</w:t>
            </w:r>
          </w:p>
        </w:tc>
      </w:tr>
      <w:tr>
        <w:tc>
          <w:tcPr>
            <w:tcW w:w="3000" w:type="dxa"/>
          </w:tcPr>
          <w:p>
            <w:r>
              <w:t xml:space="preserve">AMC</w:t>
            </w:r>
          </w:p>
        </w:tc>
        <w:tc>
          <w:tcPr>
            <w:tcW w:w="3000" w:type="dxa"/>
          </w:tcPr>
          <w:p>
            <w:r>
              <w:t xml:space="preserve">Advanced Mezzanine Card; формат сменной платы.</w:t>
            </w:r>
          </w:p>
        </w:tc>
      </w:tr>
      <w:tr>
        <w:tc>
          <w:tcPr>
            <w:tcW w:w="3000" w:type="dxa"/>
          </w:tcPr>
          <w:p>
            <w:r>
              <w:t xml:space="preserve">ПЛИС</w:t>
            </w:r>
          </w:p>
        </w:tc>
        <w:tc>
          <w:tcPr>
            <w:tcW w:w="3000" w:type="dxa"/>
          </w:tcPr>
          <w:p>
            <w:r>
              <w:t xml:space="preserve">Программируемая логическая интегральная схема.</w:t>
            </w:r>
          </w:p>
        </w:tc>
      </w:tr>
      <w:tr>
        <w:tc>
          <w:tcPr>
            <w:tcW w:w="3000" w:type="dxa"/>
          </w:tcPr>
          <w:p>
            <w:r>
              <w:t xml:space="preserve">B2B</w:t>
            </w:r>
          </w:p>
        </w:tc>
        <w:tc>
          <w:tcPr>
            <w:tcW w:w="3000" w:type="dxa"/>
          </w:tcPr>
          <w:p>
            <w:r>
              <w:t xml:space="preserve">Межплатное соединение субплаты и базовой платы.</w:t>
            </w:r>
          </w:p>
        </w:tc>
      </w:tr>
      <w:tr>
        <w:tc>
          <w:tcPr>
            <w:tcW w:w="3000" w:type="dxa"/>
          </w:tcPr>
          <w:p>
            <w:r>
              <w:t xml:space="preserve">Board ID</w:t>
            </w:r>
          </w:p>
        </w:tc>
        <w:tc>
          <w:tcPr>
            <w:tcW w:w="3000" w:type="dxa"/>
          </w:tcPr>
          <w:p>
            <w:r>
              <w:t xml:space="preserve">Идентификатор платы, считываемый базовой платой.</w:t>
            </w:r>
          </w:p>
        </w:tc>
      </w:tr>
      <w:tr>
        <w:tc>
          <w:tcPr>
            <w:tcW w:w="3000" w:type="dxa"/>
          </w:tcPr>
          <w:p>
            <w:r>
              <w:t xml:space="preserve">MMC</w:t>
            </w:r>
          </w:p>
        </w:tc>
        <w:tc>
          <w:tcPr>
            <w:tcW w:w="3000" w:type="dxa"/>
          </w:tcPr>
          <w:p>
            <w:r>
              <w:t xml:space="preserve">Интерфейс управления модулем.</w:t>
            </w:r>
          </w:p>
        </w:tc>
      </w:tr>
      <w:tr>
        <w:tc>
          <w:tcPr>
            <w:tcW w:w="3000" w:type="dxa"/>
          </w:tcPr>
          <w:p>
            <w:r>
              <w:t xml:space="preserve">РМО</w:t>
            </w:r>
          </w:p>
        </w:tc>
        <w:tc>
          <w:tcPr>
            <w:tcW w:w="3000" w:type="dxa"/>
          </w:tcPr>
          <w:p>
            <w:r>
              <w:t xml:space="preserve">Рабочее место оператора.</w:t>
            </w:r>
          </w:p>
        </w:tc>
      </w:tr>
      <w:tr>
        <w:tc>
          <w:tcPr>
            <w:tcW w:w="3000" w:type="dxa"/>
          </w:tcPr>
          <w:p>
            <w:r>
              <w:t xml:space="preserve">ОКР</w:t>
            </w:r>
          </w:p>
        </w:tc>
        <w:tc>
          <w:tcPr>
            <w:tcW w:w="3000" w:type="dxa"/>
          </w:tcPr>
          <w:p>
            <w:r>
              <w:t xml:space="preserve">Опытно-конструкторская работа.</w:t>
            </w:r>
          </w:p>
        </w:tc>
      </w:tr>
      <w:tr>
        <w:tc>
          <w:tcPr>
            <w:tcW w:w="3000" w:type="dxa"/>
          </w:tcPr>
          <w:p>
            <w:r>
              <w:t xml:space="preserve">РКД</w:t>
            </w:r>
          </w:p>
        </w:tc>
        <w:tc>
          <w:tcPr>
            <w:tcW w:w="3000" w:type="dxa"/>
          </w:tcPr>
          <w:p>
            <w:r>
              <w:t xml:space="preserve">Рабочая конструкторская документация.</w:t>
            </w:r>
          </w:p>
        </w:tc>
      </w:tr>
      <w:tr>
        <w:tc>
          <w:tcPr>
            <w:tcW w:w="3000" w:type="dxa"/>
          </w:tcPr>
          <w:p>
            <w:r>
              <w:t xml:space="preserve">ПМИ</w:t>
            </w:r>
          </w:p>
        </w:tc>
        <w:tc>
          <w:tcPr>
            <w:tcW w:w="3000" w:type="dxa"/>
          </w:tcPr>
          <w:p>
            <w:r>
              <w:t xml:space="preserve">Программа и методика испытаний.</w:t>
            </w:r>
          </w:p>
        </w:tc>
      </w:tr>
      <w:tr>
        <w:tc>
          <w:tcPr>
            <w:tcW w:w="3000" w:type="dxa"/>
          </w:tcPr>
          <w:p>
            <w:r>
              <w:t xml:space="preserve">E1</w:t>
            </w:r>
          </w:p>
        </w:tc>
        <w:tc>
          <w:tcPr>
            <w:tcW w:w="3000" w:type="dxa"/>
          </w:tcPr>
          <w:p>
            <w:r>
              <w:t xml:space="preserve">Цифровой поток/интерфейс с номинальной скоростью 2,048 Мбит/с.</w:t>
            </w:r>
          </w:p>
        </w:tc>
      </w:tr>
      <w:tr>
        <w:tc>
          <w:tcPr>
            <w:tcW w:w="3000" w:type="dxa"/>
          </w:tcPr>
          <w:p>
            <w:r>
              <w:t xml:space="preserve">LIU</w:t>
            </w:r>
          </w:p>
        </w:tc>
        <w:tc>
          <w:tcPr>
            <w:tcW w:w="3000" w:type="dxa"/>
          </w:tcPr>
          <w:p>
            <w:r>
              <w:t xml:space="preserve">Восьмиканальный интерфейсный блок линий E1.</w:t>
            </w:r>
          </w:p>
        </w:tc>
      </w:tr>
      <w:tr>
        <w:tc>
          <w:tcPr>
            <w:tcW w:w="3000" w:type="dxa"/>
          </w:tcPr>
          <w:p>
            <w:r>
              <w:t xml:space="preserve">TDM</w:t>
            </w:r>
          </w:p>
        </w:tc>
        <w:tc>
          <w:tcPr>
            <w:tcW w:w="3000" w:type="dxa"/>
          </w:tcPr>
          <w:p>
            <w:r>
              <w:t xml:space="preserve">Временное разделение каналов.</w:t>
            </w:r>
          </w:p>
        </w:tc>
      </w:tr>
      <w:tr>
        <w:tc>
          <w:tcPr>
            <w:tcW w:w="3000" w:type="dxa"/>
          </w:tcPr>
          <w:p>
            <w:r>
              <w:t xml:space="preserve">PDV</w:t>
            </w:r>
          </w:p>
        </w:tc>
        <w:tc>
          <w:tcPr>
            <w:tcW w:w="3000" w:type="dxa"/>
          </w:tcPr>
          <w:p>
            <w:r>
              <w:t xml:space="preserve">Вариация задержки пакетов.</w:t>
            </w:r>
          </w:p>
        </w:tc>
      </w:tr>
      <w:tr>
        <w:tc>
          <w:tcPr>
            <w:tcW w:w="3000" w:type="dxa"/>
          </w:tcPr>
          <w:p>
            <w:r>
              <w:t xml:space="preserve">QoS</w:t>
            </w:r>
          </w:p>
        </w:tc>
        <w:tc>
          <w:tcPr>
            <w:tcW w:w="3000" w:type="dxa"/>
          </w:tcPr>
          <w:p>
            <w:r>
              <w:t xml:space="preserve">Обеспечение качества обслуживания.</w:t>
            </w:r>
          </w:p>
        </w:tc>
      </w:tr>
      <w:tr>
        <w:tc>
          <w:tcPr>
            <w:tcW w:w="3000" w:type="dxa"/>
          </w:tcPr>
          <w:p>
            <w:r>
              <w:t xml:space="preserve">SAToP</w:t>
            </w:r>
          </w:p>
        </w:tc>
        <w:tc>
          <w:tcPr>
            <w:tcW w:w="3000" w:type="dxa"/>
          </w:tcPr>
          <w:p>
            <w:r>
              <w:t xml:space="preserve">Профиль передачи неструктурированного потока E1 через пакетную сеть по RFC 4553.</w:t>
            </w:r>
          </w:p>
        </w:tc>
      </w:tr>
      <w:tr>
        <w:tc>
          <w:tcPr>
            <w:tcW w:w="3000" w:type="dxa"/>
          </w:tcPr>
          <w:p>
            <w:r>
              <w:t xml:space="preserve">CESoPSN</w:t>
            </w:r>
          </w:p>
        </w:tc>
        <w:tc>
          <w:tcPr>
            <w:tcW w:w="3000" w:type="dxa"/>
          </w:tcPr>
          <w:p>
            <w:r>
              <w:t xml:space="preserve">Профиль передачи структурированного E1 через пакетную сеть по RFC 5086.</w:t>
            </w:r>
          </w:p>
        </w:tc>
      </w:tr>
      <w:tr>
        <w:tc>
          <w:tcPr>
            <w:tcW w:w="3000" w:type="dxa"/>
          </w:tcPr>
          <w:p>
            <w:r>
              <w:t xml:space="preserve">LOS, LOF, AIS, RAI</w:t>
            </w:r>
          </w:p>
        </w:tc>
        <w:tc>
          <w:tcPr>
            <w:tcW w:w="3000" w:type="dxa"/>
          </w:tcPr>
          <w:p>
            <w:r>
              <w:t xml:space="preserve">Аварийные состояния/сигналы, контролируемые изделием согласно требованиям раздела 3.</w:t>
            </w:r>
          </w:p>
        </w:tc>
      </w:tr>
      <w:tr>
        <w:tc>
          <w:tcPr>
            <w:tcW w:w="3000" w:type="dxa"/>
          </w:tcPr>
          <w:p>
            <w:r>
              <w:t xml:space="preserve">ES, SES, UAS</w:t>
            </w:r>
          </w:p>
        </w:tc>
        <w:tc>
          <w:tcPr>
            <w:tcW w:w="3000" w:type="dxa"/>
          </w:tcPr>
          <w:p>
            <w:r>
              <w:t xml:space="preserve">Счётчики статистики G.826.</w:t>
            </w:r>
          </w:p>
        </w:tc>
      </w:tr>
      <w:tr>
        <w:tc>
          <w:tcPr>
            <w:tcW w:w="3000" w:type="dxa"/>
          </w:tcPr>
          <w:p>
            <w:r>
              <w:t xml:space="preserve">PRBS</w:t>
            </w:r>
          </w:p>
        </w:tc>
        <w:tc>
          <w:tcPr>
            <w:tcW w:w="3000" w:type="dxa"/>
          </w:tcPr>
          <w:p>
            <w:r>
              <w:t xml:space="preserve">Псевдослучайная двоичная последовательность.</w:t>
            </w:r>
          </w:p>
        </w:tc>
      </w:tr>
      <w:tr>
        <w:tc>
          <w:tcPr>
            <w:tcW w:w="3000" w:type="dxa"/>
          </w:tcPr>
          <w:p>
            <w:r>
              <w:t xml:space="preserve">HDB3, AMI</w:t>
            </w:r>
          </w:p>
        </w:tc>
        <w:tc>
          <w:tcPr>
            <w:tcW w:w="3000" w:type="dxa"/>
          </w:tcPr>
          <w:p>
            <w:r>
              <w:t xml:space="preserve">Коды линейного сигнала E1.</w:t>
            </w:r>
          </w:p>
        </w:tc>
      </w:tr>
      <w:tr>
        <w:tc>
          <w:tcPr>
            <w:tcW w:w="3000" w:type="dxa"/>
          </w:tcPr>
          <w:p>
            <w:r>
              <w:t xml:space="preserve">TCLK, ACR</w:t>
            </w:r>
          </w:p>
        </w:tc>
        <w:tc>
          <w:tcPr>
            <w:tcW w:w="3000" w:type="dxa"/>
          </w:tcPr>
          <w:p>
            <w:r>
              <w:t xml:space="preserve">Источники тактирования, указанные в ТЗ.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ПЕРЕЧЕНЬ ПРИМЕНИМЫХ НОРМАТИВНЫХ И СПРАВОЧНЫХ ДОКУМЕНТОВ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Обозначение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Наименование / область применения</w:t>
            </w:r>
          </w:p>
        </w:tc>
      </w:tr>
      <w:tr>
        <w:tc>
          <w:tcPr>
            <w:tcW w:w="3000" w:type="dxa"/>
          </w:tcPr>
          <w:p>
            <w:r>
              <w:t xml:space="preserve">ГОСТ 15.016—2016</w:t>
            </w:r>
          </w:p>
        </w:tc>
        <w:tc>
          <w:tcPr>
            <w:tcW w:w="3000" w:type="dxa"/>
          </w:tcPr>
          <w:p>
            <w:r>
              <w:t xml:space="preserve">Система разработки и постановки продукции на производство. Техническое задание. Требования к содержанию и оформлению.</w:t>
            </w:r>
          </w:p>
        </w:tc>
      </w:tr>
      <w:tr>
        <w:tc>
          <w:tcPr>
            <w:tcW w:w="3000" w:type="dxa"/>
          </w:tcPr>
          <w:p>
            <w:r>
              <w:t xml:space="preserve">ITU-T G.703; G.704; G.823; G.826</w:t>
            </w:r>
          </w:p>
        </w:tc>
        <w:tc>
          <w:tcPr>
            <w:tcW w:w="3000" w:type="dxa"/>
          </w:tcPr>
          <w:p>
            <w:r>
              <w:t xml:space="preserve">Требования к интерфейсам, структуре E1, джиттеру/вандеру и показателям ошибок.</w:t>
            </w:r>
          </w:p>
        </w:tc>
      </w:tr>
      <w:tr>
        <w:tc>
          <w:tcPr>
            <w:tcW w:w="3000" w:type="dxa"/>
          </w:tcPr>
          <w:p>
            <w:r>
              <w:t xml:space="preserve">RFC 4553</w:t>
            </w:r>
          </w:p>
        </w:tc>
        <w:tc>
          <w:tcPr>
            <w:tcW w:w="3000" w:type="dxa"/>
          </w:tcPr>
          <w:p>
            <w:r>
              <w:t xml:space="preserve">SAToP.</w:t>
            </w:r>
          </w:p>
        </w:tc>
      </w:tr>
      <w:tr>
        <w:tc>
          <w:tcPr>
            <w:tcW w:w="3000" w:type="dxa"/>
          </w:tcPr>
          <w:p>
            <w:r>
              <w:t xml:space="preserve">RFC 5086</w:t>
            </w:r>
          </w:p>
        </w:tc>
        <w:tc>
          <w:tcPr>
            <w:tcW w:w="3000" w:type="dxa"/>
          </w:tcPr>
          <w:p>
            <w:r>
              <w:t xml:space="preserve">CESoPSN.</w:t>
            </w:r>
          </w:p>
        </w:tc>
      </w:tr>
      <w:tr>
        <w:tc>
          <w:tcPr>
            <w:tcW w:w="3000" w:type="dxa"/>
          </w:tcPr>
          <w:p>
            <w:r>
              <w:t xml:space="preserve">PICMG AMC.0 R2.0</w:t>
            </w:r>
          </w:p>
        </w:tc>
        <w:tc>
          <w:tcPr>
            <w:tcW w:w="3000" w:type="dxa"/>
          </w:tcPr>
          <w:p>
            <w:r>
              <w:t xml:space="preserve">Требования к формату AMC.</w:t>
            </w:r>
          </w:p>
        </w:tc>
      </w:tr>
      <w:tr>
        <w:tc>
          <w:tcPr>
            <w:tcW w:w="3000" w:type="dxa"/>
          </w:tcPr>
          <w:p>
            <w:r>
              <w:t xml:space="preserve">ГОСТ РВ 20.39.304-98</w:t>
            </w:r>
          </w:p>
        </w:tc>
        <w:tc>
          <w:tcPr>
            <w:tcW w:w="3000" w:type="dxa"/>
          </w:tcPr>
          <w:p>
            <w:r>
              <w:t xml:space="preserve">Требования стойкости к внешним воздействиям.</w:t>
            </w:r>
          </w:p>
        </w:tc>
      </w:tr>
      <w:tr>
        <w:tc>
          <w:tcPr>
            <w:tcW w:w="3000" w:type="dxa"/>
          </w:tcPr>
          <w:p>
            <w:r>
              <w:t xml:space="preserve">ГОСТ В 25803-91</w:t>
            </w:r>
          </w:p>
        </w:tc>
        <w:tc>
          <w:tcPr>
            <w:tcW w:w="3000" w:type="dxa"/>
          </w:tcPr>
          <w:p>
            <w:r>
              <w:t xml:space="preserve">Требования по радиопомехам.</w:t>
            </w:r>
          </w:p>
        </w:tc>
      </w:tr>
      <w:tr>
        <w:tc>
          <w:tcPr>
            <w:tcW w:w="3000" w:type="dxa"/>
          </w:tcPr>
          <w:p>
            <w:r>
              <w:t xml:space="preserve">ГОСТ 2.114—2016</w:t>
            </w:r>
          </w:p>
        </w:tc>
        <w:tc>
          <w:tcPr>
            <w:tcW w:w="3000" w:type="dxa"/>
          </w:tcPr>
          <w:p>
            <w:r>
              <w:t xml:space="preserve">Требования к техническим условиям, применимые к разрабатываемой документации при необходимости.</w:t>
            </w:r>
          </w:p>
        </w:tc>
      </w:tr>
      <w:tr>
        <w:tc>
          <w:tcPr>
            <w:tcW w:w="3000" w:type="dxa"/>
          </w:tcPr>
          <w:p>
            <w:r>
              <w:t xml:space="preserve">ГОСТ РВ 15.201-2003</w:t>
            </w:r>
          </w:p>
        </w:tc>
        <w:tc>
          <w:tcPr>
            <w:tcW w:w="3000" w:type="dxa"/>
          </w:tcPr>
          <w:p>
            <w:r>
              <w:t xml:space="preserve">Порядок разработки и постановки на производство военной продукции, применимый в заданной части при необходимости.</w:t>
            </w:r>
          </w:p>
        </w:tc>
      </w:tr>
      <w:tr>
        <w:tc>
          <w:tcPr>
            <w:tcW w:w="3000" w:type="dxa"/>
          </w:tcPr>
          <w:p>
            <w:r>
              <w:t xml:space="preserve">ГОСТ 15150</w:t>
            </w:r>
          </w:p>
        </w:tc>
        <w:tc>
          <w:tcPr>
            <w:tcW w:w="3000" w:type="dxa"/>
          </w:tcPr>
          <w:p>
            <w:r>
              <w:t xml:space="preserve">Исполнение для районов, климатические факторы, условия хранения.</w:t>
            </w:r>
          </w:p>
        </w:tc>
      </w:tr>
    </w:tbl>
    <w:p/>
    <w:p>
      <w:r>
        <w:rPr>
          <w:b/>
        </w:rPr>
        <w:t xml:space="preserve">Примечание. </w:t>
      </w:r>
      <w:r>
        <w:t xml:space="preserve">Перечень сформирован по требованиям исходных данных. Издание и статус каждого документа, кроме явно заданных в исходных данных, подлежат проверке при нормативно-техническом обеспечении: [уточнить].</w:t>
      </w:r>
    </w:p>
    <w:p>
      <w:r>
        <w:br w:type="page"/>
      </w:r>
    </w:p>
    <w:p>
      <w:pPr>
        <w:pStyle w:val="Heading1"/>
      </w:pPr>
      <w:r>
        <w:t xml:space="preserve">1 Наименование, шифр, основание, исполнители и сроки ОКР</w:t>
      </w:r>
    </w:p>
    <w:p>
      <w:r>
        <w:rPr>
          <w:b/>
        </w:rPr>
        <w:t xml:space="preserve">1.1 </w:t>
      </w:r>
      <w:r>
        <w:t xml:space="preserve">Наименование составной части: сменная интерфейсная субплата 8×E1 и функциональный модуль E1 для универсального базового модуля AMC семейства ДММП.</w:t>
      </w:r>
    </w:p>
    <w:p>
      <w:r>
        <w:rPr>
          <w:b/>
        </w:rPr>
        <w:t xml:space="preserve">1.2 </w:t>
      </w:r>
      <w:r>
        <w:t xml:space="preserve">Шифр ОКР: «Развитие-ТСА».</w:t>
      </w:r>
    </w:p>
    <w:p>
      <w:r>
        <w:rPr>
          <w:b/>
        </w:rPr>
        <w:t xml:space="preserve">1.3 </w:t>
      </w:r>
      <w:r>
        <w:t xml:space="preserve">Основание: приказ об открытии инициативной ОКР № [уточнить] от [уточнить].</w:t>
      </w:r>
    </w:p>
    <w:p>
      <w:r>
        <w:rPr>
          <w:b/>
        </w:rPr>
        <w:t xml:space="preserve">1.4 </w:t>
      </w:r>
      <w:r>
        <w:t xml:space="preserve">Исполнитель: ООО «тушканчик» (условное наименование из исходных данных).</w:t>
      </w:r>
    </w:p>
    <w:p>
      <w:r>
        <w:rPr>
          <w:b/>
        </w:rPr>
        <w:t xml:space="preserve">1.5 </w:t>
      </w:r>
      <w:r>
        <w:t xml:space="preserve">Сроки выполнения ОКР и СЧ ОКР установить в соответствии с утверждённым планом-графиком разработки РКД, программной документации, изготовления образцов и испытаний. Даты начала и окончания, а также состав исполнителей по этапам — [уточнить].</w:t>
      </w:r>
    </w:p>
    <w:p>
      <w:r>
        <w:rPr>
          <w:b/>
        </w:rPr>
        <w:t xml:space="preserve">Проверка: </w:t>
      </w:r>
      <w:r>
        <w:t xml:space="preserve">Проверка по документам: наличие утверждённого плана-графика и соответствие сроков СЧ ОКР срокам ОКР.</w:t>
      </w:r>
    </w:p>
    <w:p>
      <w:pPr>
        <w:pStyle w:val="Heading1"/>
      </w:pPr>
      <w:r>
        <w:t xml:space="preserve">2 Цель выполнения, наименование, назначение и область применения изделия</w:t>
      </w:r>
    </w:p>
    <w:p>
      <w:r>
        <w:rPr>
          <w:b/>
        </w:rPr>
        <w:t xml:space="preserve">2.1 </w:t>
      </w:r>
      <w:r>
        <w:t xml:space="preserve">Цель: подключить восемь независимых линий E1 к платформе ДММП с передачей TDM через Ethernet, компенсацией сетевого джиттера и восстановлением частоты.</w:t>
      </w:r>
    </w:p>
    <w:p>
      <w:r>
        <w:rPr>
          <w:b/>
        </w:rPr>
        <w:t xml:space="preserve">2.2 </w:t>
      </w:r>
      <w:r>
        <w:t xml:space="preserve">Назначение: применение в системах TDM/SDH/PDH, телефонных станциях, диспетчеризации и АСУ ТП энергетических и промышленных предприятий.</w:t>
      </w:r>
    </w:p>
    <w:p>
      <w:r>
        <w:rPr>
          <w:b/>
        </w:rPr>
        <w:t xml:space="preserve">2.3 </w:t>
      </w:r>
      <w:r>
        <w:t xml:space="preserve">Изделие устанавливается на AMC Carrier платформы ДММП и включает аппаратную часть (субплата, интерфейсы, защита, трансиверы, EEPROM) и логическую часть (функциональный модуль ПЛИС базовой платы), автоматически активируемую по Board ID.</w:t>
      </w:r>
    </w:p>
    <w:p>
      <w:r>
        <w:rPr>
          <w:b/>
        </w:rPr>
        <w:t xml:space="preserve">2.4 </w:t>
      </w:r>
      <w:r>
        <w:t xml:space="preserve">Через B2B базовая плата предоставляет субплате +12 В, +3,3 В, MMC и тактирование, а также выбирает bitstream E1 из Flash по Board ID. Числовой Board ID — [уточнить].</w:t>
      </w:r>
    </w:p>
    <w:p>
      <w:r>
        <w:rPr>
          <w:b/>
        </w:rPr>
        <w:t xml:space="preserve">Проверка: </w:t>
      </w:r>
      <w:r>
        <w:t xml:space="preserve">Демонстрация установки в AMC Carrier и анализ конфигурации по Board ID; состав и доступность сигналов B2B — по РКД.</w:t>
      </w:r>
    </w:p>
    <w:p>
      <w:pPr>
        <w:pStyle w:val="Heading1"/>
      </w:pPr>
      <w:r>
        <w:t xml:space="preserve">3 Технические требования к изделию</w:t>
      </w:r>
    </w:p>
    <w:p>
      <w:pPr>
        <w:pStyle w:val="Heading2"/>
      </w:pPr>
      <w:r>
        <w:t xml:space="preserve">3.1 Архитектура и линии E1</w:t>
      </w:r>
    </w:p>
    <w:p>
      <w:r>
        <w:rPr>
          <w:b/>
        </w:rPr>
        <w:t xml:space="preserve">3.1.1 </w:t>
      </w:r>
      <w:r>
        <w:t xml:space="preserve">Субплата должна содержать 8 экранированных RJ-48C (8P8C), средства защиты, импульсные трансформаторы, восьмиканальный LIU, Board ID EEPROM и индикацию портов.</w:t>
      </w:r>
    </w:p>
    <w:p>
      <w:r>
        <w:rPr>
          <w:b/>
        </w:rPr>
        <w:t xml:space="preserve">3.1.2 </w:t>
      </w:r>
      <w:r>
        <w:t xml:space="preserve">Каждый порт должен иметь симметричный двухпарный интерфейс 120 Ом, скорость 2048 кбит/с (2,048 Мбит/с) ±50 ppm, коды HDB3 или AMI и маску импульса по G.703.</w:t>
      </w:r>
    </w:p>
    <w:p>
      <w:r>
        <w:rPr>
          <w:b/>
        </w:rPr>
        <w:t xml:space="preserve">3.1.3 </w:t>
      </w:r>
      <w:r>
        <w:t xml:space="preserve">Трансформаторная изоляция каждого порта должна быть не менее 1500 В RMS при 50 Гц в течение 1 мин; предусмотреть супрессорную защиту от перенапряжений и ESD.</w:t>
      </w:r>
    </w:p>
    <w:p>
      <w:r>
        <w:rPr>
          <w:b/>
        </w:rPr>
        <w:t xml:space="preserve">3.1.4 </w:t>
      </w:r>
      <w:r>
        <w:t xml:space="preserve">Короткое замыкание, обрыв или перепутывание пар одного порта не должны влиять на другие порты и функциональный модуль.</w:t>
      </w:r>
    </w:p>
    <w:p>
      <w:r>
        <w:rPr>
          <w:b/>
        </w:rPr>
        <w:t xml:space="preserve">Проверка: </w:t>
      </w:r>
      <w:r>
        <w:t xml:space="preserve">Испытание каждого указанного состояния при активных остальных портах; наблюдаемый результат — отсутствие влияния на остальные порты и модуль. Состав тестового воздействия и критерий количественной оценки влияния — [уточнить].</w:t>
      </w:r>
    </w:p>
    <w:p>
      <w:pPr>
        <w:pStyle w:val="Heading2"/>
      </w:pPr>
      <w:r>
        <w:t xml:space="preserve">3.2 Обработка, тактирование и аварии</w:t>
      </w:r>
    </w:p>
    <w:p>
      <w:r>
        <w:rPr>
          <w:b/>
        </w:rPr>
        <w:t xml:space="preserve">3.2.1 </w:t>
      </w:r>
      <w:r>
        <w:t xml:space="preserve">Для каждого порта независимо должны поддерживаться профиль A SAToP (RFC 4553): полный неструктурированный поток с настраиваемой полезной нагрузкой и минимальной аппаратной задержкой; профиль Б CESoPSN (RFC 5086): N×64 кбит/с, TS1–TS31, G.704, CRC-4, CAS (TS16) и CCS. Поддержка профилей является совокупной.</w:t>
      </w:r>
    </w:p>
    <w:p>
      <w:r>
        <w:rPr>
          <w:b/>
        </w:rPr>
        <w:t xml:space="preserve">3.2.2 </w:t>
      </w:r>
      <w:r>
        <w:t xml:space="preserve">Fabric 10GbE должен работать со Strict Priority QoS, без потерь и с минимальной задержкой коммутации. Джиттер-буфер каждого канала должен иметь диапазон настройки 1–64 мс для компенсации PDV.</w:t>
      </w:r>
    </w:p>
    <w:p>
      <w:r>
        <w:rPr>
          <w:b/>
        </w:rPr>
        <w:t xml:space="preserve">3.2.3 </w:t>
      </w:r>
      <w:r>
        <w:t xml:space="preserve">При потере пакетов или аварии сети изделие должно выдавать AIS («все единицы»), сохраняя тактирование.</w:t>
      </w:r>
    </w:p>
    <w:p>
      <w:r>
        <w:rPr>
          <w:b/>
        </w:rPr>
        <w:t xml:space="preserve">3.2.4 </w:t>
      </w:r>
      <w:r>
        <w:t xml:space="preserve">Режимы передатчика: системный TCLK, ACR от пакетной сети, Free-run/Holdover и Loop timing. Восстановленные 2,048 МГц любого выбранного входного порта должны передаваться через B2B как кандидат синхронизации шасси. Джиттер и вандер — по G.823.</w:t>
      </w:r>
    </w:p>
    <w:p>
      <w:r>
        <w:rPr>
          <w:b/>
        </w:rPr>
        <w:t xml:space="preserve">3.2.5 </w:t>
      </w:r>
      <w:r>
        <w:t xml:space="preserve">Непрерывно контролировать LOS, LOF в кадровом режиме, AIS, RAI, CRC-4, нарушения HDB3 и Frame slips. Вести статистику G.826: ES, SES, UAS.</w:t>
      </w:r>
    </w:p>
    <w:p>
      <w:r>
        <w:rPr>
          <w:b/>
        </w:rPr>
        <w:t xml:space="preserve">3.2.6 </w:t>
      </w:r>
      <w:r>
        <w:t xml:space="preserve">Для каждого порта предусмотреть Local Line Loopback, Payload Loopback и Packet Loopback; встроенные генератор и анализатор PRBS 2^15−1 и 2^23−1 для BER-тестов.</w:t>
      </w:r>
    </w:p>
    <w:p>
      <w:r>
        <w:rPr>
          <w:b/>
        </w:rPr>
        <w:t xml:space="preserve">Проверка: </w:t>
      </w:r>
      <w:r>
        <w:t xml:space="preserve">Демонстрация всех режимов, проверка переключения источников тактирования и аварийных реакций. Измерение BER, джиттера/вандера и задержки пакетизации — по методикам измерений; допуски и длительности испытаний, не заданные в источниках, — [уточнить].</w:t>
      </w:r>
    </w:p>
    <w:p>
      <w:pPr>
        <w:pStyle w:val="Heading2"/>
      </w:pPr>
      <w:r>
        <w:t xml:space="preserve">3.3 Конструкция и эксплуатация</w:t>
      </w:r>
    </w:p>
    <w:p>
      <w:r>
        <w:rPr>
          <w:b/>
        </w:rPr>
        <w:t xml:space="preserve">3.3.1 </w:t>
      </w:r>
      <w:r>
        <w:t xml:space="preserve">Крепление — к общему лонжерону-теплоотводу и лицевой панели. Разъёмы должны оставлять доступ к защёлкам, обеспечивать обзор светодиодов и вентиляцию.</w:t>
      </w:r>
    </w:p>
    <w:p>
      <w:r>
        <w:rPr>
          <w:b/>
        </w:rPr>
        <w:t xml:space="preserve">3.3.2 </w:t>
      </w:r>
      <w:r>
        <w:t xml:space="preserve">Мощность при всех активных портах: субплата — не более 12 Вт, сборка — не более 35 Вт.</w:t>
      </w:r>
    </w:p>
    <w:p>
      <w:r>
        <w:rPr>
          <w:b/>
        </w:rPr>
        <w:t xml:space="preserve">Проверка: </w:t>
      </w:r>
      <w:r>
        <w:t xml:space="preserve">Измерение при всех активных портах; режим измерения и допускаемая погрешность измерений — [уточнить].</w:t>
      </w:r>
    </w:p>
    <w:p>
      <w:r>
        <w:rPr>
          <w:b/>
        </w:rPr>
        <w:t xml:space="preserve">3.3.3 </w:t>
      </w:r>
      <w:r>
        <w:t xml:space="preserve">Конструкция: Single Full-size AMC.0, 73,5 × 180,6 × 28,95 мм; межплатное крепление на 4–6 металлических стойках М2,5.</w:t>
      </w:r>
    </w:p>
    <w:p>
      <w:r>
        <w:rPr>
          <w:b/>
        </w:rPr>
        <w:t xml:space="preserve">3.3.4 </w:t>
      </w:r>
      <w:r>
        <w:t xml:space="preserve">Стойкость: ГОСТ РВ 20.39.304-98, группы 1.1, 1.3, 1.4.1, исполнение «О»; рабочая температура −10…+50 °C, предельная −40…+65 °C, синусоидальная вибрация 5g, удары 15g. Радиопомехи — группа 1.1.1 ГОСТ В 25803-91.</w:t>
      </w:r>
    </w:p>
    <w:p>
      <w:r>
        <w:rPr>
          <w:b/>
        </w:rPr>
        <w:t xml:space="preserve">Проверка: </w:t>
      </w:r>
      <w:r>
        <w:t xml:space="preserve">Анализ РКД и испытания по применимым методикам указанных документов. Конкретные режимы и критерии испытаний, не заданные источниками, — [уточнить].</w:t>
      </w:r>
    </w:p>
    <w:p>
      <w:r>
        <w:rPr>
          <w:b/>
        </w:rPr>
        <w:t xml:space="preserve">3.3.5 </w:t>
      </w:r>
      <w:r>
        <w:t xml:space="preserve">MTBF — не менее 15 000 ч; назначенный срок службы — не менее 20 лет.</w:t>
      </w:r>
    </w:p>
    <w:p>
      <w:r>
        <w:rPr>
          <w:b/>
        </w:rPr>
        <w:t xml:space="preserve">Проверка: </w:t>
      </w:r>
      <w:r>
        <w:t xml:space="preserve">Анализ расчёта/подтверждающих материалов по принятой методике. Метод оценки и условия расчёта — [уточнить].</w:t>
      </w:r>
    </w:p>
    <w:p>
      <w:pPr>
        <w:pStyle w:val="Heading2"/>
      </w:pPr>
      <w:r>
        <w:t xml:space="preserve">3.4 Состав изделия</w:t>
      </w:r>
    </w:p>
    <w:p>
      <w:r>
        <w:rPr>
          <w:b/>
        </w:rPr>
        <w:t xml:space="preserve">3.4.1 </w:t>
      </w:r>
      <w:r>
        <w:t xml:space="preserve">Состав: субплата 8×E1; функциональный модуль E1 ПЛИС базовой платы; Board ID EEPROM; средства защиты, трансформаторы, LIU, разъёмы, индикация; bitstream, драйверы Linux и MIB для РМО/SNMP.</w:t>
      </w:r>
    </w:p>
    <w:p>
      <w:r>
        <w:rPr>
          <w:b/>
        </w:rPr>
        <w:t xml:space="preserve">Примечание. </w:t>
      </w:r>
      <w:r>
        <w:t xml:space="preserve">Иные элементы состава и комплектность не заданы и не добавляются: [уточнить] при разработке РКД.</w:t>
      </w:r>
    </w:p>
    <w:p>
      <w:pPr>
        <w:pStyle w:val="Heading1"/>
      </w:pPr>
      <w:r>
        <w:t xml:space="preserve">4 Технико-экономические требования</w:t>
      </w:r>
    </w:p>
    <w:p>
      <w:r>
        <w:rPr>
          <w:b/>
        </w:rPr>
        <w:t xml:space="preserve">4.1 </w:t>
      </w:r>
      <w:r>
        <w:t xml:space="preserve">Требования не предъявляются.</w:t>
      </w:r>
    </w:p>
    <w:p>
      <w:pPr>
        <w:pStyle w:val="Heading1"/>
      </w:pPr>
      <w:r>
        <w:t xml:space="preserve">5 Требования к видам обеспечения</w:t>
      </w:r>
    </w:p>
    <w:p>
      <w:pPr>
        <w:pStyle w:val="Heading2"/>
      </w:pPr>
      <w:r>
        <w:t xml:space="preserve">5.1 Нормативное обеспечение</w:t>
      </w:r>
    </w:p>
    <w:p>
      <w:r>
        <w:rPr>
          <w:b/>
        </w:rPr>
        <w:t xml:space="preserve">5.1.1 </w:t>
      </w:r>
      <w:r>
        <w:t xml:space="preserve">РКД, программная документация и иная ОНТД должны разрабатываться с учётом документов, перечисленных в разделе «Перечень применимых нормативных и справочных документов».</w:t>
      </w:r>
    </w:p>
    <w:p>
      <w:pPr>
        <w:pStyle w:val="Heading2"/>
      </w:pPr>
      <w:r>
        <w:t xml:space="preserve">5.2 Метрологическое обеспечение</w:t>
      </w:r>
    </w:p>
    <w:p>
      <w:r>
        <w:rPr>
          <w:b/>
        </w:rPr>
        <w:t xml:space="preserve">5.2.1 </w:t>
      </w:r>
      <w:r>
        <w:t xml:space="preserve">Предусмотреть средства и методики измерения маски импульса E1, джиттера/вандера, BER и задержки пакетизации. Допуски, точность и погрешности измерений не заданы — [уточнить].</w:t>
      </w:r>
    </w:p>
    <w:p>
      <w:r>
        <w:rPr>
          <w:b/>
        </w:rPr>
        <w:t xml:space="preserve">Проверка: </w:t>
      </w:r>
      <w:r>
        <w:t xml:space="preserve">Анализ состава средств и методик; измерение перечисленных параметров после утверждения недостающих метрологических характеристик.</w:t>
      </w:r>
    </w:p>
    <w:p>
      <w:pPr>
        <w:pStyle w:val="Heading2"/>
      </w:pPr>
      <w:r>
        <w:t xml:space="preserve">5.3 Диагностическое обеспечение</w:t>
      </w:r>
    </w:p>
    <w:p>
      <w:r>
        <w:rPr>
          <w:b/>
        </w:rPr>
        <w:t xml:space="preserve">5.3.1 </w:t>
      </w:r>
      <w:r>
        <w:t xml:space="preserve">Обеспечить регистрацию LOS/LOF/AIS/RAI и счётчиков ошибок, формирование сообщений и отчётов для РМО.</w:t>
      </w:r>
    </w:p>
    <w:p>
      <w:r>
        <w:rPr>
          <w:b/>
        </w:rPr>
        <w:t xml:space="preserve">Проверка: </w:t>
      </w:r>
      <w:r>
        <w:t xml:space="preserve">Демонстрация регистрации каждого события и формирования сообщений/отчётов; формат, состав полей и правила хранения — [уточнить].</w:t>
      </w:r>
    </w:p>
    <w:p>
      <w:pPr>
        <w:pStyle w:val="Heading2"/>
      </w:pPr>
      <w:r>
        <w:t xml:space="preserve">5.4 Математическое, программное и информационно-лингвистическое обеспечение</w:t>
      </w:r>
    </w:p>
    <w:p>
      <w:r>
        <w:rPr>
          <w:b/>
        </w:rPr>
        <w:t xml:space="preserve">5.4.1 </w:t>
      </w:r>
      <w:r>
        <w:t xml:space="preserve">Разработать bitstream функционального модуля для Flash базовой платы, драйверы Linux и MIB для РМО/SNMP.</w:t>
      </w:r>
    </w:p>
    <w:p>
      <w:r>
        <w:rPr>
          <w:b/>
        </w:rPr>
        <w:t xml:space="preserve">5.4.2 </w:t>
      </w:r>
      <w:r>
        <w:t xml:space="preserve">Реализовать взаимодействие управления и диагностики для функций, перечисленных в разделе 8. Требования к безопасности информации, форматам данных, версиям Linux и SNMP — [уточнить].</w:t>
      </w:r>
    </w:p>
    <w:p>
      <w:pPr>
        <w:pStyle w:val="Heading1"/>
      </w:pPr>
      <w:r>
        <w:t xml:space="preserve">6 Требования к сырью, материалам и комплектующим изделиям</w:t>
      </w:r>
    </w:p>
    <w:p>
      <w:r>
        <w:rPr>
          <w:b/>
        </w:rPr>
        <w:t xml:space="preserve">6.1 </w:t>
      </w:r>
      <w:r>
        <w:t xml:space="preserve">Предусмотреть приоритет отечественных материалов и комплектующих с приёмкой ОТК.</w:t>
      </w:r>
    </w:p>
    <w:p>
      <w:r>
        <w:rPr>
          <w:b/>
        </w:rPr>
        <w:t xml:space="preserve">6.2 </w:t>
      </w:r>
      <w:r>
        <w:t xml:space="preserve">При отсутствии отечественных аналогов разрешить импортную ЭКБ промышленного температурного диапазона. Перечень допустимых аналогов и документирование отсутствия аналогов — [уточнить].</w:t>
      </w:r>
    </w:p>
    <w:p>
      <w:r>
        <w:rPr>
          <w:b/>
        </w:rPr>
        <w:t xml:space="preserve">Проверка: </w:t>
      </w:r>
      <w:r>
        <w:t xml:space="preserve">Инспекция ведомости покупных изделий и документов приёмки ОТК; подтверждение температурного диапазона применяемой импортной ЭКБ.</w:t>
      </w:r>
    </w:p>
    <w:p>
      <w:pPr>
        <w:pStyle w:val="Heading1"/>
      </w:pPr>
      <w:r>
        <w:t xml:space="preserve">7 Требования к консервации, упаковке и маркировке</w:t>
      </w:r>
    </w:p>
    <w:p>
      <w:r>
        <w:rPr>
          <w:b/>
        </w:rPr>
        <w:t xml:space="preserve">7.1 </w:t>
      </w:r>
      <w:r>
        <w:t xml:space="preserve">Предусмотреть децимальный и серийный номера, ревизию и маркировку E1-1…E1-8.</w:t>
      </w:r>
    </w:p>
    <w:p>
      <w:r>
        <w:rPr>
          <w:b/>
        </w:rPr>
        <w:t xml:space="preserve">7.2 </w:t>
      </w:r>
      <w:r>
        <w:t xml:space="preserve">Использовать индивидуальную тару с ESD-защитой.</w:t>
      </w:r>
    </w:p>
    <w:p>
      <w:r>
        <w:rPr>
          <w:b/>
        </w:rPr>
        <w:t xml:space="preserve">7.3 </w:t>
      </w:r>
      <w:r>
        <w:t xml:space="preserve">Хранение в заводской таре — не менее 1 года по ГОСТ 15150. Условия консервации, не заданные исходными данными, не дополнять.</w:t>
      </w:r>
    </w:p>
    <w:p>
      <w:r>
        <w:rPr>
          <w:b/>
        </w:rPr>
        <w:t xml:space="preserve">7.4 </w:t>
      </w:r>
      <w:r>
        <w:t xml:space="preserve">Содержание маркировки и наличие ESD-защиты проверять визуально и по документации на упаковку; срок хранения — анализом документации и маркировки. Точный способ нанесения маркировки и реквизиты децимального номера — [уточнить].</w:t>
      </w:r>
    </w:p>
    <w:p>
      <w:pPr>
        <w:pStyle w:val="Heading1"/>
      </w:pPr>
      <w:r>
        <w:t xml:space="preserve">8 Специальные требования</w:t>
      </w:r>
    </w:p>
    <w:p>
      <w:r>
        <w:rPr>
          <w:b/>
        </w:rPr>
        <w:t xml:space="preserve">8.1 </w:t>
      </w:r>
      <w:r>
        <w:t xml:space="preserve">Телеметрия РМО (C++/Qt) должна обеспечивать мнемосхему 8 портов, отображение LOS/LOF/AIS/RAI, счётчиков G.826, профилей SAToP/CESoPSN и источника тактирования.</w:t>
      </w:r>
    </w:p>
    <w:p>
      <w:r>
        <w:rPr>
          <w:b/>
        </w:rPr>
        <w:t xml:space="preserve">8.2 </w:t>
      </w:r>
      <w:r>
        <w:t xml:space="preserve">Команды РМО должны обеспечивать включение/отключение портов, изменение джиттер-буфера, диагностические петли и PRBS.</w:t>
      </w:r>
    </w:p>
    <w:p>
      <w:r>
        <w:rPr>
          <w:b/>
        </w:rPr>
        <w:t xml:space="preserve">8.3 </w:t>
      </w:r>
      <w:r>
        <w:t xml:space="preserve">Проверка: демонстрация мнемосхемы, отображения состояний и счётчиков, выбора профилей и источника тактирования, выполнения каждой команды. Формат сообщений, права доступа и критерии реакции интерфейса — [уточнить].</w:t>
      </w:r>
    </w:p>
    <w:p>
      <w:r>
        <w:rPr>
          <w:b/>
        </w:rPr>
        <w:t xml:space="preserve">Примечание. </w:t>
      </w:r>
      <w:r>
        <w:t xml:space="preserve">Документ ограничен разделами 1–8 согласно заданию. Отдельные разделы об учебно-тренировочных средствах, этапах ОКР, порядке приёмки этапов и приложения не включены. Неустановленные исходными данными значения и реквизиты обозначены [уточнить].</w:t>
      </w:r>
    </w:p>
    <w:p>
      <w:r>
        <w:br w:type="page"/>
      </w:r>
    </w:p>
    <w:p>
      <w:pPr>
        <w:pStyle w:val="Heading1"/>
      </w:pPr>
      <w:r>
        <w:t xml:space="preserve">ПОДПИСИ РАЗРАБОТЧИКОВ И СОГЛАСУЮЩИХ ЛИЦ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Роль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Должность, ФИО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Подпись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3000" w:type="dxa"/>
          </w:tcPr>
          <w:p>
            <w:r>
              <w:t xml:space="preserve">Разработал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____________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</w:tr>
      <w:tr>
        <w:tc>
          <w:tcPr>
            <w:tcW w:w="3000" w:type="dxa"/>
          </w:tcPr>
          <w:p>
            <w:r>
              <w:t xml:space="preserve">Проверил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____________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</w:tr>
      <w:tr>
        <w:tc>
          <w:tcPr>
            <w:tcW w:w="3000" w:type="dxa"/>
          </w:tcPr>
          <w:p>
            <w:r>
              <w:t xml:space="preserve">Согласовано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____________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</w:tr>
      <w:tr>
        <w:tc>
          <w:tcPr>
            <w:tcW w:w="3000" w:type="dxa"/>
          </w:tcPr>
          <w:p>
            <w:r>
              <w:t xml:space="preserve">Утвердил головной исполнитель ОКР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  <w:tc>
          <w:tcPr>
            <w:tcW w:w="3000" w:type="dxa"/>
          </w:tcPr>
          <w:p>
            <w:r>
              <w:t xml:space="preserve">____________</w:t>
            </w:r>
          </w:p>
        </w:tc>
        <w:tc>
          <w:tcPr>
            <w:tcW w:w="3000" w:type="dxa"/>
          </w:tcPr>
          <w:p>
            <w:r>
              <w:t xml:space="preserve">[уточнить]</w:t>
            </w:r>
          </w:p>
        </w:tc>
      </w:tr>
    </w:tbl>
    <w:p/>
    <w:p>
      <w:r>
        <w:rPr>
          <w:b/>
        </w:rPr>
        <w:t xml:space="preserve">Примечание. </w:t>
      </w:r>
      <w:r>
        <w:t xml:space="preserve">Настоящий лист предусмотрен для подписей после согласования проекта ТЗ. Незаданные фамилии, должности, подписи и даты не являются подтверждёнными сведениями.</w:t>
      </w:r>
    </w:p>
    <w:sectPr>
      <w:pgSz w:w="11906" w:h="16838"/>
      <w:pgMar w:top="1134" w:right="850" w:bottom="1134" w:left="1417"/>
    </w:sectPr>
  </w:body>
</w:document>
</file>