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Align w:val="top"/>
          </w:tcPr>
          <w:p>
            <w:pPr/>
            <w:r>
              <w:rPr>
                <w:b/>
              </w:rPr>
              <w:t>СОГЛАСОВАНО</w:t>
            </w:r>
            <w:r>
              <w:br/>
            </w:r>
            <w:r>
              <w:t>Заказчик (НИО заказчика)</w:t>
            </w:r>
            <w:r>
              <w:br/>
            </w:r>
            <w:r>
              <w:t>[уточнить]</w:t>
            </w:r>
            <w:r>
              <w:br/>
            </w:r>
            <w:r>
              <w:br/>
            </w:r>
            <w:r>
              <w:t>__________ [уточнить]</w:t>
            </w:r>
            <w:r>
              <w:br/>
            </w:r>
            <w:r>
              <w:t>«___» ________ 20__ г.</w:t>
            </w:r>
          </w:p>
        </w:tc>
        <w:tc>
          <w:tcPr>
            <w:tcW w:w="3000" w:type="dxa"/>
            <w:vAlign w:val="top"/>
          </w:tcPr>
          <w:p>
            <w:pPr/>
            <w:r>
              <w:rPr>
                <w:b/>
              </w:rPr>
              <w:t>СОГЛАСОВАНО</w:t>
            </w:r>
            <w:r>
              <w:br/>
            </w:r>
            <w:r>
              <w:t>Исполнитель составной части ОКР</w:t>
            </w:r>
            <w:r>
              <w:br/>
            </w:r>
            <w:r>
              <w:t>ООО «тушканчик»</w:t>
            </w:r>
            <w:r>
              <w:br/>
            </w:r>
            <w:r>
              <w:br/>
            </w:r>
            <w:r>
              <w:t>__________ [уточнить]</w:t>
            </w:r>
            <w:r>
              <w:br/>
            </w:r>
            <w:r>
              <w:t>«___» ________ 20__ г.</w:t>
            </w:r>
          </w:p>
        </w:tc>
        <w:tc>
          <w:tcPr>
            <w:tcW w:w="3000" w:type="dxa"/>
            <w:vAlign w:val="top"/>
          </w:tcPr>
          <w:p>
            <w:pPr/>
            <w:r>
              <w:rPr>
                <w:b/>
              </w:rPr>
              <w:t>УТВЕРЖДАЮ</w:t>
            </w:r>
            <w:r>
              <w:br/>
            </w:r>
            <w:r>
              <w:t>Головной исполнитель ОКР</w:t>
            </w:r>
            <w:r>
              <w:br/>
            </w:r>
            <w:r>
              <w:t>[уточнить]</w:t>
            </w:r>
            <w:r>
              <w:br/>
            </w:r>
            <w:r>
              <w:br/>
            </w:r>
            <w:r>
              <w:t>__________ [уточнить]</w:t>
            </w:r>
            <w:r>
              <w:br/>
            </w:r>
            <w:r>
              <w:t>«___» ________ 20__ г.</w:t>
            </w:r>
          </w:p>
        </w:tc>
      </w:tr>
      <w:tr>
        <w:tc>
          <w:tcPr>
            <w:tcW w:w="3000" w:type="dxa"/>
            <w:vAlign w:val="top"/>
          </w:tcPr>
          <w:p>
            <w:pPr/>
            <w:r>
              <w:rPr>
                <w:b/>
              </w:rPr>
              <w:t>СОГЛАСОВАНО</w:t>
            </w:r>
            <w:r>
              <w:br/>
            </w:r>
            <w:r>
              <w:t>Исполнитель составной части ОКР</w:t>
            </w:r>
            <w:r>
              <w:br/>
            </w:r>
            <w:r>
              <w:t>[уточнить]</w:t>
            </w:r>
            <w:r>
              <w:br/>
            </w:r>
            <w:r>
              <w:br/>
            </w:r>
            <w:r>
              <w:t>__________ [уточнить]</w:t>
            </w:r>
            <w:r>
              <w:br/>
            </w:r>
            <w:r>
              <w:t>«___» ________ 20__ г.</w:t>
            </w:r>
          </w:p>
        </w:tc>
        <w:tc>
          <w:tcPr>
            <w:tcW w:w="3000" w:type="dxa"/>
            <w:vAlign w:val="top"/>
          </w:tcPr>
          <w:p>
            <w:pPr/>
          </w:p>
        </w:tc>
        <w:tc>
          <w:tcPr>
            <w:tcW w:w="3000" w:type="dxa"/>
            <w:vAlign w:val="top"/>
          </w:tcPr>
          <w:p>
            <w:pPr/>
          </w:p>
        </w:tc>
      </w:tr>
    </w:tbl>
    <w:p>
      <w:pPr>
        <w:jc w:val="center"/>
        <w:ind w:firstLine="709"/>
      </w:pPr>
      <w:r>
        <w:t>ТЕХНИЧЕСКОЕ ЗАДАНИЕ</w:t>
      </w:r>
    </w:p>
    <w:p>
      <w:pPr>
        <w:jc w:val="center"/>
        <w:ind w:firstLine="709"/>
      </w:pPr>
      <w:r>
        <w:t>НА СОСТАВНУЮ ЧАСТЬ ОПЫТНО-КОНСТРУКТОРСКОЙ РАБОТЫ</w:t>
      </w:r>
    </w:p>
    <w:p>
      <w:pPr>
        <w:jc w:val="center"/>
        <w:ind w:firstLine="709"/>
      </w:pPr>
      <w:r>
        <w:t>Разработка сменной интерфейсной субплаты 8×E1</w:t>
      </w:r>
      <w:r>
        <w:br/>
      </w:r>
      <w:r>
        <w:t>и функционального модуля E1 для универсального базового модуля AMC семейства ДММП</w:t>
      </w:r>
    </w:p>
    <w:p>
      <w:pPr>
        <w:jc w:val="center"/>
        <w:ind w:firstLine="709"/>
      </w:pPr>
      <w:r>
        <w:t>Шифр ОКР «Развитие-ТСА»</w:t>
      </w:r>
    </w:p>
    <w:p>
      <w:pPr>
        <w:jc w:val="center"/>
        <w:ind w:firstLine="709"/>
      </w:pPr>
      <w:r>
        <w:t>Обозначение составной части изделия: [уточнить]</w:t>
      </w:r>
    </w:p>
    <w:p>
      <w:pPr>
        <w:jc w:val="center"/>
        <w:ind w:firstLine="709"/>
      </w:pPr>
      <w:r>
        <w:t>[место составления — уточнить]</w:t>
      </w:r>
      <w:r>
        <w:br/>
      </w:r>
      <w:r>
        <w:t>[год — уточнить]</w:t>
      </w:r>
    </w:p>
    <w:p>
      <w:pPr>
        <w:pStyle w:val="Heading1"/>
        <w:jc w:val="center"/>
        <w:pageBreakBefore/>
        <w:keepNext/>
      </w:pPr>
      <w:r>
        <w:t>ЛИСТ СОГЛАСОВАНИЯ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vAlign w:val="top"/>
          </w:tcPr>
          <w:p>
            <w:pPr/>
            <w:r>
              <w:t>Организация</w:t>
            </w:r>
          </w:p>
        </w:tc>
        <w:tc>
          <w:tcPr>
            <w:tcW w:w="2250" w:type="dxa"/>
            <w:vAlign w:val="top"/>
          </w:tcPr>
          <w:p>
            <w:pPr/>
            <w:r>
              <w:t>Должность</w:t>
            </w:r>
          </w:p>
        </w:tc>
        <w:tc>
          <w:tcPr>
            <w:tcW w:w="2250" w:type="dxa"/>
            <w:vAlign w:val="top"/>
          </w:tcPr>
          <w:p>
            <w:pPr/>
            <w:r>
              <w:t>Ф.И.О.</w:t>
            </w:r>
          </w:p>
        </w:tc>
        <w:tc>
          <w:tcPr>
            <w:tcW w:w="2250" w:type="dxa"/>
            <w:vAlign w:val="top"/>
          </w:tcPr>
          <w:p>
            <w:pPr/>
            <w:r>
              <w:t>Подпись, дата</w:t>
            </w:r>
          </w:p>
        </w:tc>
      </w:tr>
      <w:tr>
        <w:tc>
          <w:tcPr>
            <w:tcW w:w="2250" w:type="dxa"/>
            <w:vAlign w:val="top"/>
          </w:tcPr>
          <w:p>
            <w:pPr/>
            <w:r>
              <w:t>Головной исполнитель ОКР</w:t>
            </w:r>
            <w:r>
              <w:br/>
            </w:r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__________</w:t>
            </w:r>
            <w:r>
              <w:br/>
            </w:r>
            <w:r>
              <w:t>«___» ______ 20__ г.</w:t>
            </w:r>
          </w:p>
        </w:tc>
      </w:tr>
      <w:tr>
        <w:tc>
          <w:tcPr>
            <w:tcW w:w="2250" w:type="dxa"/>
            <w:vAlign w:val="top"/>
          </w:tcPr>
          <w:p>
            <w:pPr/>
            <w:r>
              <w:t>Заказчик (НИО заказчика)</w:t>
            </w:r>
            <w:r>
              <w:br/>
            </w:r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__________</w:t>
            </w:r>
            <w:r>
              <w:br/>
            </w:r>
            <w:r>
              <w:t>«___» ______ 20__ г.</w:t>
            </w:r>
          </w:p>
        </w:tc>
      </w:tr>
      <w:tr>
        <w:tc>
          <w:tcPr>
            <w:tcW w:w="2250" w:type="dxa"/>
            <w:vAlign w:val="top"/>
          </w:tcPr>
          <w:p>
            <w:pPr/>
            <w:r>
              <w:t>Исполнитель составной части ОКР</w:t>
            </w:r>
            <w:r>
              <w:br/>
            </w:r>
            <w:r>
              <w:t>ООО «тушканчик»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__________</w:t>
            </w:r>
            <w:r>
              <w:br/>
            </w:r>
            <w:r>
              <w:t>«___» ______ 20__ г.</w:t>
            </w:r>
          </w:p>
        </w:tc>
      </w:tr>
      <w:tr>
        <w:tc>
          <w:tcPr>
            <w:tcW w:w="2250" w:type="dxa"/>
            <w:vAlign w:val="top"/>
          </w:tcPr>
          <w:p>
            <w:pPr/>
            <w:r>
              <w:t>Иные согласующие организации</w:t>
            </w:r>
            <w:r>
              <w:br/>
            </w:r>
            <w:r>
              <w:t>[уточнить при необходимости]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[уточнить]</w:t>
            </w:r>
          </w:p>
        </w:tc>
        <w:tc>
          <w:tcPr>
            <w:tcW w:w="2250" w:type="dxa"/>
            <w:vAlign w:val="top"/>
          </w:tcPr>
          <w:p>
            <w:pPr/>
            <w:r>
              <w:t>__________</w:t>
            </w:r>
            <w:r>
              <w:br/>
            </w:r>
            <w:r>
              <w:t>«___» ______ 20__ г.</w:t>
            </w:r>
          </w:p>
        </w:tc>
      </w:tr>
    </w:tbl>
    <w:p>
      <w:pPr>
        <w:pStyle w:val="Heading1"/>
        <w:jc w:val="center"/>
        <w:pageBreakBefore/>
        <w:keepNext/>
      </w:pPr>
      <w:r>
        <w:t>ОБОЗНАЧЕНИЯ И СОКРАЩЕНИЯ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pPr/>
            <w:r>
              <w:t>Обозначение</w:t>
            </w:r>
          </w:p>
        </w:tc>
        <w:tc>
          <w:tcPr>
            <w:tcW w:w="4500" w:type="dxa"/>
            <w:vAlign w:val="top"/>
          </w:tcPr>
          <w:p>
            <w:pPr/>
            <w:r>
              <w:t>Расшифровка и значение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AMC</w:t>
            </w:r>
          </w:p>
        </w:tc>
        <w:tc>
          <w:tcPr>
            <w:tcW w:w="4500" w:type="dxa"/>
            <w:vAlign w:val="top"/>
          </w:tcPr>
          <w:p>
            <w:pPr/>
            <w:r>
              <w:t>Advanced Mezzanine Card — формат мезонинного модуля; в настоящем ТЗ — универсальный базовый модуль AMC семейства ДММП.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ПЛИС</w:t>
            </w:r>
          </w:p>
        </w:tc>
        <w:tc>
          <w:tcPr>
            <w:tcW w:w="4500" w:type="dxa"/>
            <w:vAlign w:val="top"/>
          </w:tcPr>
          <w:p>
            <w:pPr/>
            <w:r>
              <w:t>Программируемая логическая интегральная схема.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B2B</w:t>
            </w:r>
          </w:p>
        </w:tc>
        <w:tc>
          <w:tcPr>
            <w:tcW w:w="4500" w:type="dxa"/>
            <w:vAlign w:val="top"/>
          </w:tcPr>
          <w:p>
            <w:pPr/>
            <w:r>
              <w:t>Board-to-Board — межплатное соединение субплаты с базовой платой.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Board ID</w:t>
            </w:r>
          </w:p>
        </w:tc>
        <w:tc>
          <w:tcPr>
            <w:tcW w:w="4500" w:type="dxa"/>
            <w:vAlign w:val="top"/>
          </w:tcPr>
          <w:p>
            <w:pPr/>
            <w:r>
              <w:t>Идентификатор платы, хранящийся в EEPROM и используемый базовой платой для автоматического выбора bitstream E1.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MMC</w:t>
            </w:r>
          </w:p>
        </w:tc>
        <w:tc>
          <w:tcPr>
            <w:tcW w:w="4500" w:type="dxa"/>
            <w:vAlign w:val="top"/>
          </w:tcPr>
          <w:p>
            <w:pPr/>
            <w:r>
              <w:t>Module Management Controller — контроллер управления модулем, предоставляемый базовой платой через B2B.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РМО</w:t>
            </w:r>
          </w:p>
        </w:tc>
        <w:tc>
          <w:tcPr>
            <w:tcW w:w="4500" w:type="dxa"/>
            <w:vAlign w:val="top"/>
          </w:tcPr>
          <w:p>
            <w:pPr/>
            <w:r>
              <w:t>[уточнить расшифровку]. В настоящем ТЗ — программное средство на C++/Qt для телеметрии и управления изделием.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ОКР</w:t>
            </w:r>
          </w:p>
        </w:tc>
        <w:tc>
          <w:tcPr>
            <w:tcW w:w="4500" w:type="dxa"/>
            <w:vAlign w:val="top"/>
          </w:tcPr>
          <w:p>
            <w:pPr/>
            <w:r>
              <w:t>Опытно-конструкторская работа.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РКД</w:t>
            </w:r>
          </w:p>
        </w:tc>
        <w:tc>
          <w:tcPr>
            <w:tcW w:w="4500" w:type="dxa"/>
            <w:vAlign w:val="top"/>
          </w:tcPr>
          <w:p>
            <w:pPr/>
            <w:r>
              <w:t>Рабочая конструкторская документация.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ПМИ</w:t>
            </w:r>
          </w:p>
        </w:tc>
        <w:tc>
          <w:tcPr>
            <w:tcW w:w="4500" w:type="dxa"/>
            <w:vAlign w:val="top"/>
          </w:tcPr>
          <w:p>
            <w:pPr/>
            <w:r>
              <w:t>Программа и методика испытаний.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LIU</w:t>
            </w:r>
          </w:p>
        </w:tc>
        <w:tc>
          <w:tcPr>
            <w:tcW w:w="4500" w:type="dxa"/>
            <w:vAlign w:val="top"/>
          </w:tcPr>
          <w:p>
            <w:pPr/>
            <w:r>
              <w:t>Line Interface Unit — восьмиканальный узел линейных интерфейсов E1.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SAToP</w:t>
            </w:r>
          </w:p>
        </w:tc>
        <w:tc>
          <w:tcPr>
            <w:tcW w:w="4500" w:type="dxa"/>
            <w:vAlign w:val="top"/>
          </w:tcPr>
          <w:p>
            <w:pPr/>
            <w:r>
              <w:t>Structure-Agnostic Time Division Multiplexing over Packet — профиль передачи полного неструктурированного TDM-потока по RFC 4553.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CESoPSN</w:t>
            </w:r>
          </w:p>
        </w:tc>
        <w:tc>
          <w:tcPr>
            <w:tcW w:w="4500" w:type="dxa"/>
            <w:vAlign w:val="top"/>
          </w:tcPr>
          <w:p>
            <w:pPr/>
            <w:r>
              <w:t>Circuit Emulation Service over Packet Switched Network — профиль передачи структурированного TDM по RFC 5086.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TDM</w:t>
            </w:r>
          </w:p>
        </w:tc>
        <w:tc>
          <w:tcPr>
            <w:tcW w:w="4500" w:type="dxa"/>
            <w:vAlign w:val="top"/>
          </w:tcPr>
          <w:p>
            <w:pPr/>
            <w:r>
              <w:t>Time Division Multiplexing — временное разделение каналов.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PDV</w:t>
            </w:r>
          </w:p>
        </w:tc>
        <w:tc>
          <w:tcPr>
            <w:tcW w:w="4500" w:type="dxa"/>
            <w:vAlign w:val="top"/>
          </w:tcPr>
          <w:p>
            <w:pPr/>
            <w:r>
              <w:t>Packet Delay Variation — вариация задержки пакетов.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ACR</w:t>
            </w:r>
          </w:p>
        </w:tc>
        <w:tc>
          <w:tcPr>
            <w:tcW w:w="4500" w:type="dxa"/>
            <w:vAlign w:val="top"/>
          </w:tcPr>
          <w:p>
            <w:pPr/>
            <w:r>
              <w:t>Adaptive Clock Recovery — адаптивное восстановление тактовой частоты из пакетной сети.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LOS; LOF; AIS; RAI</w:t>
            </w:r>
          </w:p>
        </w:tc>
        <w:tc>
          <w:tcPr>
            <w:tcW w:w="4500" w:type="dxa"/>
            <w:vAlign w:val="top"/>
          </w:tcPr>
          <w:p>
            <w:pPr/>
            <w:r>
              <w:t>Сигналы и состояния контроля E1: потеря сигнала; потеря кадра; аварийный сигнал «все единицы»; удалённая аварийная индикация.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CRC-4; CAS; CCS</w:t>
            </w:r>
          </w:p>
        </w:tc>
        <w:tc>
          <w:tcPr>
            <w:tcW w:w="4500" w:type="dxa"/>
            <w:vAlign w:val="top"/>
          </w:tcPr>
          <w:p>
            <w:pPr/>
            <w:r>
              <w:t>Циклический контроль избыточности CRC-4; сигнализация по выделенному каналу; общеканальная сигнализация.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ES; SES; UAS</w:t>
            </w:r>
          </w:p>
        </w:tc>
        <w:tc>
          <w:tcPr>
            <w:tcW w:w="4500" w:type="dxa"/>
            <w:vAlign w:val="top"/>
          </w:tcPr>
          <w:p>
            <w:pPr/>
            <w:r>
              <w:t>Показатели статистики G.826: секунды с ошибками; секунды с большим количеством ошибок; секунды неготовности.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PRBS; BER</w:t>
            </w:r>
          </w:p>
        </w:tc>
        <w:tc>
          <w:tcPr>
            <w:tcW w:w="4500" w:type="dxa"/>
            <w:vAlign w:val="top"/>
          </w:tcPr>
          <w:p>
            <w:pPr/>
            <w:r>
              <w:t>Псевдослучайная двоичная последовательность; коэффициент битовых ошибок.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ESD</w:t>
            </w:r>
          </w:p>
        </w:tc>
        <w:tc>
          <w:tcPr>
            <w:tcW w:w="4500" w:type="dxa"/>
            <w:vAlign w:val="top"/>
          </w:tcPr>
          <w:p>
            <w:pPr/>
            <w:r>
              <w:t>Электростатический разряд; в требованиях к защите и упаковке.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MTBF</w:t>
            </w:r>
          </w:p>
        </w:tc>
        <w:tc>
          <w:tcPr>
            <w:tcW w:w="4500" w:type="dxa"/>
            <w:vAlign w:val="top"/>
          </w:tcPr>
          <w:p>
            <w:pPr/>
            <w:r>
              <w:t>Средняя наработка между отказами.</w:t>
            </w:r>
          </w:p>
        </w:tc>
      </w:tr>
      <w:tr>
        <w:tc>
          <w:tcPr>
            <w:tcW w:w="4500" w:type="dxa"/>
            <w:vAlign w:val="top"/>
          </w:tcPr>
          <w:p>
            <w:pPr/>
            <w:r>
              <w:t>ЭКБ; ОТК</w:t>
            </w:r>
          </w:p>
        </w:tc>
        <w:tc>
          <w:tcPr>
            <w:tcW w:w="4500" w:type="dxa"/>
            <w:vAlign w:val="top"/>
          </w:tcPr>
          <w:p>
            <w:pPr/>
            <w:r>
              <w:t>Электронная компонентная база; отдел технического контроля.</w:t>
            </w:r>
          </w:p>
        </w:tc>
      </w:tr>
    </w:tbl>
    <w:p>
      <w:pPr>
        <w:pStyle w:val="Heading1"/>
        <w:jc w:val="center"/>
        <w:keepNext/>
      </w:pPr>
      <w:r>
        <w:t>ПРИМЕНИМЫЕ НОРМАТИВНЫЕ И СПРАВОЧНЫЕ ДОКУМЕНТЫ</w:t>
      </w:r>
    </w:p>
    <w:p>
      <w:pPr>
        <w:jc w:val="both"/>
      </w:pPr>
      <w:r>
        <w:t>При разработке составной части ОКР применяются следующие документы в части требований, относящихся к изделию:</w:t>
      </w:r>
    </w:p>
    <w:p>
      <w:pPr>
        <w:numPr>
          <w:ilvl w:val="0"/>
          <w:numId w:val="1"/>
        </w:numPr>
      </w:pPr>
      <w:r>
        <w:t>ГОСТ 15.016-2016;</w:t>
      </w:r>
    </w:p>
    <w:p>
      <w:pPr>
        <w:numPr>
          <w:ilvl w:val="0"/>
          <w:numId w:val="1"/>
        </w:numPr>
      </w:pPr>
      <w:r>
        <w:t>ITU-T G.703, G.704, G.823, G.826;</w:t>
      </w:r>
    </w:p>
    <w:p>
      <w:pPr>
        <w:numPr>
          <w:ilvl w:val="0"/>
          <w:numId w:val="1"/>
        </w:numPr>
      </w:pPr>
      <w:r>
        <w:t>RFC 4553 (SAToP); RFC 5086 (CESoPSN);</w:t>
      </w:r>
    </w:p>
    <w:p>
      <w:pPr>
        <w:numPr>
          <w:ilvl w:val="0"/>
          <w:numId w:val="1"/>
        </w:numPr>
      </w:pPr>
      <w:r>
        <w:t>PICMG AMC.0 R2.0;</w:t>
      </w:r>
    </w:p>
    <w:p>
      <w:pPr>
        <w:numPr>
          <w:ilvl w:val="0"/>
          <w:numId w:val="1"/>
        </w:numPr>
      </w:pPr>
      <w:r>
        <w:t>ГОСТ РВ 20.39.304-98; ГОСТ В 25803-91; ГОСТ 2.114-2016; ГОСТ РВ 15.201-2003; ГОСТ 15150.</w:t>
      </w:r>
    </w:p>
    <w:p>
      <w:pPr>
        <w:pStyle w:val="Note"/>
        <w:jc w:val="both"/>
      </w:pPr>
      <w:r>
        <w:t>Примечание — Наименования и редакции документов, кроме прямо указанных в исходных данных, не реконструируются. Статус, полные наименования, актуальность и применимые пункты перечисленных документов подлежат уточнению до утверждения ТЗ.</w:t>
      </w:r>
    </w:p>
    <w:p>
      <w:pPr>
        <w:pStyle w:val="Heading1"/>
        <w:jc w:val="center"/>
        <w:pageBreakBefore/>
        <w:keepNext/>
      </w:pPr>
      <w:r>
        <w:t>1 Наименование, шифр, основание, исполнители и сроки ОКР</w:t>
      </w:r>
    </w:p>
    <w:p>
      <w:pPr>
        <w:jc w:val="both"/>
      </w:pPr>
      <w:r>
        <w:rPr>
          <w:b/>
        </w:rPr>
        <w:t>1.1</w:t>
      </w:r>
      <w:r>
        <w:t xml:space="preserve"> Наименование составной части ОКР: «Разработка сменной интерфейсной субплаты 8×E1 и функционального модуля E1 для универсального базового модуля AMC семейства ДММП».</w:t>
      </w:r>
    </w:p>
    <w:p>
      <w:pPr>
        <w:jc w:val="both"/>
      </w:pPr>
      <w:r>
        <w:rPr>
          <w:b/>
        </w:rPr>
        <w:t>1.2</w:t>
      </w:r>
      <w:r>
        <w:t xml:space="preserve"> Шифр ОКР: «Развитие-ТСА».</w:t>
      </w:r>
    </w:p>
    <w:p>
      <w:pPr>
        <w:jc w:val="both"/>
      </w:pPr>
      <w:r>
        <w:rPr>
          <w:b/>
        </w:rPr>
        <w:t>1.3</w:t>
      </w:r>
      <w:r>
        <w:t xml:space="preserve"> Основание для выполнения: приказ об открытии инициативной ОКР № [уточнить] от [уточнить].</w:t>
      </w:r>
    </w:p>
    <w:p>
      <w:pPr>
        <w:jc w:val="both"/>
      </w:pPr>
      <w:r>
        <w:rPr>
          <w:b/>
        </w:rPr>
        <w:t>1.4</w:t>
      </w:r>
      <w:r>
        <w:t xml:space="preserve"> Исполнитель составной части ОКР: ООО «тушканчик».</w:t>
      </w:r>
    </w:p>
    <w:p>
      <w:pPr>
        <w:jc w:val="both"/>
      </w:pPr>
      <w:r>
        <w:rPr>
          <w:b/>
        </w:rPr>
        <w:t>1.5</w:t>
      </w:r>
      <w:r>
        <w:t xml:space="preserve"> Головной исполнитель ОКР: [уточнить]. Заказчик: [уточнить].</w:t>
      </w:r>
    </w:p>
    <w:p>
      <w:pPr>
        <w:jc w:val="both"/>
      </w:pPr>
      <w:r>
        <w:rPr>
          <w:b/>
        </w:rPr>
        <w:t>1.6</w:t>
      </w:r>
      <w:r>
        <w:t xml:space="preserve"> Сроки выполнения должны соответствовать утверждённому плану-графику разработки РКД и программной документации, изготовления образцов и проведения испытаний. Календарные даты и сроки: [уточнить по утверждённому плану-графику].</w:t>
      </w:r>
    </w:p>
    <w:p>
      <w:pPr>
        <w:pStyle w:val="Note"/>
        <w:jc w:val="both"/>
      </w:pPr>
      <w:r>
        <w:t>Проверка: инспекцией утверждённого плана-графика установить наличие сроков разработки РКД и программной документации, изготовления образцов и испытаний, а также их согласование со сроками ОКР. План-график и даты для проверки не представлены.</w:t>
      </w:r>
    </w:p>
    <w:p>
      <w:pPr>
        <w:pStyle w:val="Heading1"/>
        <w:jc w:val="center"/>
        <w:keepNext/>
      </w:pPr>
      <w:r>
        <w:t>2 Цель выполнения, наименование, назначение и область применения изделия</w:t>
      </w:r>
    </w:p>
    <w:p>
      <w:pPr>
        <w:jc w:val="both"/>
      </w:pPr>
      <w:r>
        <w:rPr>
          <w:b/>
        </w:rPr>
        <w:t>2.1</w:t>
      </w:r>
      <w:r>
        <w:t xml:space="preserve"> Целью работы является создание сменной интерфейсной субплаты 8×E1 и функционального модуля E1, обеспечивающих подключение восьми независимых линий E1 к платформе ДММП, передачу TDM через Ethernet, компенсацию сетевого джиттера и восстановление частоты.</w:t>
      </w:r>
    </w:p>
    <w:p>
      <w:pPr>
        <w:jc w:val="both"/>
      </w:pPr>
      <w:r>
        <w:rPr>
          <w:b/>
        </w:rPr>
        <w:t>2.2</w:t>
      </w:r>
      <w:r>
        <w:t xml:space="preserve"> Изделие предназначено для применения в TDM/SDH/PDH, телефонных станциях, системах диспетчеризации и АСУ ТП энергетических и промышленных предприятий.</w:t>
      </w:r>
    </w:p>
    <w:p>
      <w:pPr>
        <w:jc w:val="both"/>
      </w:pPr>
      <w:r>
        <w:rPr>
          <w:b/>
        </w:rPr>
        <w:t>2.3</w:t>
      </w:r>
      <w:r>
        <w:t xml:space="preserve"> Аппаратная часть изделия должна включать сменную субплату, линейные интерфейсы, средства защиты, импульсные трансформаторы, трансиверы/LIU, EEPROM Board ID и средства индикации.</w:t>
      </w:r>
    </w:p>
    <w:p>
      <w:pPr>
        <w:jc w:val="both"/>
      </w:pPr>
      <w:r>
        <w:rPr>
          <w:b/>
        </w:rPr>
        <w:t>2.4</w:t>
      </w:r>
      <w:r>
        <w:t xml:space="preserve"> Логическая часть изделия должна быть реализована как функциональный модуль ПЛИС базовой платы. Базовая плата должна автоматически активировать функциональный модуль E1 путём выбора соответствующего bitstream из Flash по Board ID.</w:t>
      </w:r>
    </w:p>
    <w:p>
      <w:pPr>
        <w:jc w:val="both"/>
      </w:pPr>
      <w:r>
        <w:rPr>
          <w:b/>
        </w:rPr>
        <w:t>2.5</w:t>
      </w:r>
      <w:r>
        <w:t xml:space="preserve"> Базовый модуль AMC с установленной субплатой должен устанавливаться на Carrier платформы ДММП.</w:t>
      </w:r>
    </w:p>
    <w:p>
      <w:pPr>
        <w:pStyle w:val="Note"/>
        <w:jc w:val="both"/>
      </w:pPr>
      <w:r>
        <w:t>Проверка: инспекцией состава изделия и демонстрацией на Carrier платформы ДММП подтвердить наличие аппаратной и логической частей, установку AMC и автоматическую активацию bitstream E1 по Board ID. Числовой Board ID и конфигурация проверочного стенда — [уточнить].</w:t>
      </w:r>
    </w:p>
    <w:p>
      <w:pPr>
        <w:pStyle w:val="Heading1"/>
        <w:jc w:val="center"/>
        <w:keepNext/>
      </w:pPr>
      <w:r>
        <w:t>3 Технические требования к изделию</w:t>
      </w:r>
    </w:p>
    <w:p>
      <w:pPr>
        <w:pStyle w:val="Heading2"/>
        <w:jc w:val="left"/>
        <w:keepNext/>
      </w:pPr>
      <w:r>
        <w:t>3.1 Состав, архитектура и линии E1</w:t>
      </w:r>
    </w:p>
    <w:p>
      <w:pPr>
        <w:jc w:val="both"/>
      </w:pPr>
      <w:r>
        <w:rPr>
          <w:b/>
        </w:rPr>
        <w:t>3.1.1</w:t>
      </w:r>
      <w:r>
        <w:t xml:space="preserve"> Субплата должна содержать восемь экранированных разъёмов RJ-48C (8P8C), средства защиты, импульсные трансформаторы, восьмиканальный LIU, EEPROM Board ID и индикацию портов.</w:t>
      </w:r>
    </w:p>
    <w:p>
      <w:pPr>
        <w:jc w:val="both"/>
      </w:pPr>
      <w:r>
        <w:rPr>
          <w:b/>
        </w:rPr>
        <w:t>3.1.2</w:t>
      </w:r>
      <w:r>
        <w:t xml:space="preserve"> Числовое значение Board ID: [уточнить].</w:t>
      </w:r>
    </w:p>
    <w:p>
      <w:pPr>
        <w:jc w:val="both"/>
      </w:pPr>
      <w:r>
        <w:rPr>
          <w:b/>
        </w:rPr>
        <w:t>3.1.3</w:t>
      </w:r>
      <w:r>
        <w:t xml:space="preserve"> Через B2B базовая плата должна предоставлять субплате электропитание +12 В и +3,3 В, MMC и тактирование и должна выбирать bitstream E1 из Flash по Board ID.</w:t>
      </w:r>
    </w:p>
    <w:p>
      <w:pPr>
        <w:jc w:val="both"/>
      </w:pPr>
      <w:r>
        <w:rPr>
          <w:b/>
        </w:rPr>
        <w:t>3.1.4</w:t>
      </w:r>
      <w:r>
        <w:t xml:space="preserve"> Каждый из восьми портов должен иметь симметричный двухпарный интерфейс сопротивлением 120 Ом и обеспечивать скорость 2048 кбит/с (2,048 Мбит/с) с отклонением ±50 ppm, линейное кодирование HDB3 или AMI и соответствие маски импульса требованиям G.703.</w:t>
      </w:r>
    </w:p>
    <w:p>
      <w:pPr>
        <w:jc w:val="both"/>
      </w:pPr>
      <w:r>
        <w:rPr>
          <w:b/>
        </w:rPr>
        <w:t>3.1.5</w:t>
      </w:r>
      <w:r>
        <w:t xml:space="preserve"> Трансформаторная изоляция каждого порта должна быть не менее 1500 В RMS при частоте 50 Гц в течение 1 мин.</w:t>
      </w:r>
    </w:p>
    <w:p>
      <w:pPr>
        <w:jc w:val="both"/>
      </w:pPr>
      <w:r>
        <w:rPr>
          <w:b/>
        </w:rPr>
        <w:t>3.1.6</w:t>
      </w:r>
      <w:r>
        <w:t xml:space="preserve"> Каждый порт должен иметь супрессорную защиту от перенапряжений и ESD.</w:t>
      </w:r>
    </w:p>
    <w:p>
      <w:pPr>
        <w:jc w:val="both"/>
      </w:pPr>
      <w:r>
        <w:rPr>
          <w:b/>
        </w:rPr>
        <w:t>3.1.7</w:t>
      </w:r>
      <w:r>
        <w:t xml:space="preserve"> Короткое замыкание, обрыв или перепутывание пар одного порта не должны влиять на другие порты и модуль.</w:t>
      </w:r>
    </w:p>
    <w:p>
      <w:pPr>
        <w:pStyle w:val="Note"/>
        <w:jc w:val="both"/>
      </w:pPr>
      <w:r>
        <w:t>Проверка 3.1: инспекцией проверить состав, разъёмы, маркировку и B2B; измерением — сопротивление интерфейса, скорость и отклонение частоты, маску импульса и изоляцию; тестом на каждом порту — HDB3 и AMI, а также КЗ, обрыв и перепутывание пар при наблюдении остальных портов и модуля. Параметры испытаний перенапряжением/ESD, пределы погрешности измерений, конфигурация нагрузки и критерий «не влиять» — [уточнить в ПМИ].</w:t>
      </w:r>
    </w:p>
    <w:p>
      <w:pPr>
        <w:pStyle w:val="Heading2"/>
        <w:jc w:val="left"/>
        <w:keepNext/>
      </w:pPr>
      <w:r>
        <w:t>3.2 Обработка TDM и пакетная передача</w:t>
      </w:r>
    </w:p>
    <w:p>
      <w:pPr>
        <w:jc w:val="both"/>
      </w:pPr>
      <w:r>
        <w:rPr>
          <w:b/>
        </w:rPr>
        <w:t>3.2.1</w:t>
      </w:r>
      <w:r>
        <w:t xml:space="preserve"> Независимо для каждого порта изделие должно поддерживать одновременно предусмотренные профили А и Б с независимым выбором профиля для каждого порта.</w:t>
      </w:r>
    </w:p>
    <w:p>
      <w:pPr>
        <w:jc w:val="both"/>
      </w:pPr>
      <w:r>
        <w:rPr>
          <w:b/>
        </w:rPr>
        <w:t>3.2.2</w:t>
      </w:r>
      <w:r>
        <w:t xml:space="preserve"> Профиль А — SAToP по RFC 4553: передача полного неструктурированного потока с настраиваемой полезной нагрузкой и минимальной аппаратной задержкой.</w:t>
      </w:r>
    </w:p>
    <w:p>
      <w:pPr>
        <w:jc w:val="both"/>
      </w:pPr>
      <w:r>
        <w:rPr>
          <w:b/>
        </w:rPr>
        <w:t>3.2.3</w:t>
      </w:r>
      <w:r>
        <w:t xml:space="preserve"> Профиль Б — CESoPSN по RFC 5086: передача N×64 кбит/с, временных интервалов TS1–TS31, поддержка G.704, CRC-4, CAS (TS16) и CCS.</w:t>
      </w:r>
    </w:p>
    <w:p>
      <w:pPr>
        <w:jc w:val="both"/>
      </w:pPr>
      <w:r>
        <w:rPr>
          <w:b/>
        </w:rPr>
        <w:t>3.2.4</w:t>
      </w:r>
      <w:r>
        <w:t xml:space="preserve"> Обмен с пакетной сетью должен выполняться через Fabric 10GbE с обслуживанием Strict Priority QoS, без потерь и с минимальной задержкой коммутации.</w:t>
      </w:r>
    </w:p>
    <w:p>
      <w:pPr>
        <w:jc w:val="both"/>
      </w:pPr>
      <w:r>
        <w:rPr>
          <w:b/>
        </w:rPr>
        <w:t>3.2.5</w:t>
      </w:r>
      <w:r>
        <w:t xml:space="preserve"> Для каждого канала должен быть предусмотрен независимо настраиваемый джиттер-буфер в диапазоне от 1 до 64 мс включительно для компенсации PDV.</w:t>
      </w:r>
    </w:p>
    <w:p>
      <w:pPr>
        <w:jc w:val="both"/>
      </w:pPr>
      <w:r>
        <w:rPr>
          <w:b/>
        </w:rPr>
        <w:t>3.2.6</w:t>
      </w:r>
      <w:r>
        <w:t xml:space="preserve"> При потере пакетов или аварии сети изделие должно выдавать в линию E1 AIS («все единицы») с сохранением тактирования.</w:t>
      </w:r>
    </w:p>
    <w:p>
      <w:pPr>
        <w:pStyle w:val="Note"/>
        <w:jc w:val="both"/>
      </w:pPr>
      <w:r>
        <w:t>Проверка 3.2: тестом каждого порта во всех профилях подтвердить передачу SAToP и CESoPSN, режимы TS1–TS31/CRC-4/CAS/CCS, настройку граничных значений джиттер-буфера 1 и 64 мс, Strict Priority QoS, отсутствие потерь и выдачу AIS с сохранением тактирования при потере пакетов и аварии сети. Размеры полезной нагрузки, количественные критерии «минимальной» задержки и «без потерь», профиль нагрузки сети, длительность наблюдения и погрешности — [уточнить в ПМИ].</w:t>
      </w:r>
    </w:p>
    <w:p>
      <w:pPr>
        <w:pStyle w:val="Heading2"/>
        <w:jc w:val="left"/>
        <w:keepNext/>
      </w:pPr>
      <w:r>
        <w:t>3.3 Тактирование, синхронизация, контроль и диагностика</w:t>
      </w:r>
    </w:p>
    <w:p>
      <w:pPr>
        <w:jc w:val="both"/>
      </w:pPr>
      <w:r>
        <w:rPr>
          <w:b/>
        </w:rPr>
        <w:t>3.3.1</w:t>
      </w:r>
      <w:r>
        <w:t xml:space="preserve"> Для каждого порта должны поддерживаться режимы передатчика: системный TCLK; ACR от пакетной сети; Free-run/Holdover; Loop timing.</w:t>
      </w:r>
    </w:p>
    <w:p>
      <w:pPr>
        <w:jc w:val="both"/>
      </w:pPr>
      <w:r>
        <w:rPr>
          <w:b/>
        </w:rPr>
        <w:t>3.3.2</w:t>
      </w:r>
      <w:r>
        <w:t xml:space="preserve"> Восстановленный сигнал частотой 2,048 МГц любого выбранного входного порта должен передаваться через B2B как кандидат синхронизации шасси.</w:t>
      </w:r>
    </w:p>
    <w:p>
      <w:pPr>
        <w:jc w:val="both"/>
      </w:pPr>
      <w:r>
        <w:rPr>
          <w:b/>
        </w:rPr>
        <w:t>3.3.3</w:t>
      </w:r>
      <w:r>
        <w:t xml:space="preserve"> Джиттер и вандер должны соответствовать G.823.</w:t>
      </w:r>
    </w:p>
    <w:p>
      <w:pPr>
        <w:jc w:val="both"/>
      </w:pPr>
      <w:r>
        <w:rPr>
          <w:b/>
        </w:rPr>
        <w:t>3.3.4</w:t>
      </w:r>
      <w:r>
        <w:t xml:space="preserve"> Изделие должно непрерывно и независимо по каждому порту контролировать LOS, LOF в кадровом режиме, AIS, RAI, CRC-4, нарушения HDB3 и Frame slips.</w:t>
      </w:r>
    </w:p>
    <w:p>
      <w:pPr>
        <w:jc w:val="both"/>
      </w:pPr>
      <w:r>
        <w:rPr>
          <w:b/>
        </w:rPr>
        <w:t>3.3.5</w:t>
      </w:r>
      <w:r>
        <w:t xml:space="preserve"> Изделие должно вести по каждому порту статистику G.826: ES, SES и UAS.</w:t>
      </w:r>
    </w:p>
    <w:p>
      <w:pPr>
        <w:jc w:val="both"/>
      </w:pPr>
      <w:r>
        <w:rPr>
          <w:b/>
        </w:rPr>
        <w:t>3.3.6</w:t>
      </w:r>
      <w:r>
        <w:t xml:space="preserve"> Для каждого порта должны быть предусмотрены Local Line Loopback, Payload Loopback и Packet Loopback.</w:t>
      </w:r>
    </w:p>
    <w:p>
      <w:pPr>
        <w:jc w:val="both"/>
      </w:pPr>
      <w:r>
        <w:rPr>
          <w:b/>
        </w:rPr>
        <w:t>3.3.7</w:t>
      </w:r>
      <w:r>
        <w:t xml:space="preserve"> Для BER-тестов изделие должно содержать встроенные генератор и анализатор PRBS 2</w:t>
      </w:r>
      <w:r>
        <w:rPr>
          <w:vertAlign w:val="superscript"/>
        </w:rPr>
        <w:t>15</w:t>
      </w:r>
      <w:r>
        <w:t>−1 и 2</w:t>
      </w:r>
      <w:r>
        <w:rPr>
          <w:vertAlign w:val="superscript"/>
        </w:rPr>
        <w:t>23</w:t>
      </w:r>
      <w:r>
        <w:t>−1.</w:t>
      </w:r>
    </w:p>
    <w:p>
      <w:pPr>
        <w:pStyle w:val="Note"/>
        <w:jc w:val="both"/>
      </w:pPr>
      <w:r>
        <w:t>Проверка 3.3: тестом каждого порта подтвердить все четыре режима тактирования, выбор любого входного порта как кандидата 2,048 МГц на B2B, переходы между предусмотренными режимами, непрерывный контроль всех аварий и ошибок, накопление ES/SES/UAS, три вида петель и обе PRBS. Джиттер и вандер измерить по G.823. Условия и логика переключения режимов, поведение после устранения аварии, допустимые переходные процессы, пороги/время обнаружения событий и пределы погрешности — [уточнить в ПМИ].</w:t>
      </w:r>
    </w:p>
    <w:p>
      <w:pPr>
        <w:pStyle w:val="Heading2"/>
        <w:jc w:val="left"/>
        <w:keepNext/>
      </w:pPr>
      <w:r>
        <w:t>3.4 Конструктивные и эксплуатационные требования</w:t>
      </w:r>
    </w:p>
    <w:p>
      <w:pPr>
        <w:jc w:val="both"/>
      </w:pPr>
      <w:r>
        <w:rPr>
          <w:b/>
        </w:rPr>
        <w:t>3.4.1</w:t>
      </w:r>
      <w:r>
        <w:t xml:space="preserve"> Субплата должна крепиться к общему лонжерону-теплоотводу и лицевой панели. Разъёмы должны быть размещены так, чтобы сохранялись доступ к защёлкам, обзор светодиодов и вентиляция.</w:t>
      </w:r>
    </w:p>
    <w:p>
      <w:pPr>
        <w:jc w:val="both"/>
      </w:pPr>
      <w:r>
        <w:rPr>
          <w:b/>
        </w:rPr>
        <w:t>3.4.2</w:t>
      </w:r>
      <w:r>
        <w:t xml:space="preserve"> Потребляемая мощность при всех активных портах должна составлять: для субплаты — не более 12 Вт; для сборки — не более 35 Вт.</w:t>
      </w:r>
    </w:p>
    <w:p>
      <w:pPr>
        <w:jc w:val="both"/>
      </w:pPr>
      <w:r>
        <w:rPr>
          <w:b/>
        </w:rPr>
        <w:t>3.4.3</w:t>
      </w:r>
      <w:r>
        <w:t xml:space="preserve"> Конструкция сборки должна соответствовать исполнению Single Full-size AMC.0 и иметь габаритные размеры 73,5 × 180,6 × 28,95 мм.</w:t>
      </w:r>
    </w:p>
    <w:p>
      <w:pPr>
        <w:jc w:val="both"/>
      </w:pPr>
      <w:r>
        <w:rPr>
          <w:b/>
        </w:rPr>
        <w:t>3.4.4</w:t>
      </w:r>
      <w:r>
        <w:t xml:space="preserve"> Межплатное крепление должно выполняться на 4–6 металлических стойках М2,5.</w:t>
      </w:r>
    </w:p>
    <w:p>
      <w:pPr>
        <w:jc w:val="both"/>
      </w:pPr>
      <w:r>
        <w:rPr>
          <w:b/>
        </w:rPr>
        <w:t>3.4.5</w:t>
      </w:r>
      <w:r>
        <w:t xml:space="preserve"> Изделие должно соответствовать ГОСТ РВ 20.39.304-98 для групп 1.1, 1.3, 1.4.1, исполнение «О».</w:t>
      </w:r>
    </w:p>
    <w:p>
      <w:pPr>
        <w:jc w:val="both"/>
      </w:pPr>
      <w:r>
        <w:rPr>
          <w:b/>
        </w:rPr>
        <w:t>3.4.6</w:t>
      </w:r>
      <w:r>
        <w:t xml:space="preserve"> Рабочая температура должна находиться в диапазоне от −10 до +50 °C; предельная температура — от −40 до +65 °C.</w:t>
      </w:r>
    </w:p>
    <w:p>
      <w:pPr>
        <w:jc w:val="both"/>
      </w:pPr>
      <w:r>
        <w:rPr>
          <w:b/>
        </w:rPr>
        <w:t>3.4.7</w:t>
      </w:r>
      <w:r>
        <w:t xml:space="preserve"> Изделие должно быть стойким к синусоидальной вибрации 5g и ударам 15g.</w:t>
      </w:r>
    </w:p>
    <w:p>
      <w:pPr>
        <w:jc w:val="both"/>
      </w:pPr>
      <w:r>
        <w:rPr>
          <w:b/>
        </w:rPr>
        <w:t>3.4.8</w:t>
      </w:r>
      <w:r>
        <w:t xml:space="preserve"> Требования по радиопомехам — группа 1.1.1 ГОСТ В 25803-91.</w:t>
      </w:r>
    </w:p>
    <w:p>
      <w:pPr>
        <w:jc w:val="both"/>
      </w:pPr>
      <w:r>
        <w:rPr>
          <w:b/>
        </w:rPr>
        <w:t>3.4.9</w:t>
      </w:r>
      <w:r>
        <w:t xml:space="preserve"> MTBF должен быть не менее 15 000 ч. Назначенный срок службы должен быть не менее 20 лет.</w:t>
      </w:r>
    </w:p>
    <w:p>
      <w:pPr>
        <w:pStyle w:val="Note"/>
        <w:jc w:val="both"/>
      </w:pPr>
      <w:r>
        <w:t>Проверка 3.4: инспекцией и измерением подтвердить исполнение, крепление, доступность, вентиляцию и габариты; измерением при восьми активных портах — мощность субплаты и сборки; испытаниями — работу в диапазоне рабочих температур, стойкость к указанным вибрации и ударам и радиопомехи; анализом/испытаниями — MTBF и срок службы. Режим измерения мощности, погрешности, профили и длительности воздействий, критерии работоспособности, правила проверки предельной температуры и метод подтверждения надёжности — [уточнить в ПМИ].</w:t>
      </w:r>
    </w:p>
    <w:p>
      <w:pPr>
        <w:pStyle w:val="Heading1"/>
        <w:jc w:val="center"/>
        <w:keepNext/>
      </w:pPr>
      <w:r>
        <w:t>4 Технико-экономические требования</w:t>
      </w:r>
    </w:p>
    <w:p>
      <w:pPr>
        <w:jc w:val="both"/>
      </w:pPr>
      <w:r>
        <w:rPr>
          <w:b/>
        </w:rPr>
        <w:t>4.1</w:t>
      </w:r>
      <w:r>
        <w:t xml:space="preserve"> Технико-экономические требования к изделию не предъявляются.</w:t>
      </w:r>
    </w:p>
    <w:p>
      <w:pPr>
        <w:pStyle w:val="Heading1"/>
        <w:jc w:val="center"/>
        <w:keepNext/>
      </w:pPr>
      <w:r>
        <w:t>5 Требования к видам обеспечения</w:t>
      </w:r>
    </w:p>
    <w:p>
      <w:pPr>
        <w:pStyle w:val="Heading2"/>
        <w:jc w:val="left"/>
        <w:keepNext/>
      </w:pPr>
      <w:r>
        <w:t>5.1 Требования к нормативному обеспечению</w:t>
      </w:r>
    </w:p>
    <w:p>
      <w:pPr>
        <w:jc w:val="both"/>
      </w:pPr>
      <w:r>
        <w:rPr>
          <w:b/>
        </w:rPr>
        <w:t>5.1.1</w:t>
      </w:r>
      <w:r>
        <w:t xml:space="preserve"> Разработка должна выполняться с применением документов, перечисленных в разделе «Применимые нормативные и справочные документы», в части, относящейся к изделию.</w:t>
      </w:r>
    </w:p>
    <w:p>
      <w:pPr>
        <w:pStyle w:val="Note"/>
        <w:jc w:val="both"/>
      </w:pPr>
      <w:r>
        <w:t>Открытый вопрос: до утверждения ТЗ уточнить полные наименования, редакции, статус и применимые положения документов, для которых эти сведения отсутствуют в исходных данных.</w:t>
      </w:r>
    </w:p>
    <w:p>
      <w:pPr>
        <w:pStyle w:val="Heading2"/>
        <w:jc w:val="left"/>
        <w:keepNext/>
      </w:pPr>
      <w:r>
        <w:t>5.2 Требования к метрологическому обеспечению</w:t>
      </w:r>
    </w:p>
    <w:p>
      <w:pPr>
        <w:jc w:val="both"/>
      </w:pPr>
      <w:r>
        <w:rPr>
          <w:b/>
        </w:rPr>
        <w:t>5.2.1</w:t>
      </w:r>
      <w:r>
        <w:t xml:space="preserve"> Должны быть предусмотрены средства и методики измерения маски импульса E1, джиттера и вандера, BER и задержки пакетизации.</w:t>
      </w:r>
    </w:p>
    <w:p>
      <w:pPr>
        <w:jc w:val="both"/>
      </w:pPr>
      <w:r>
        <w:rPr>
          <w:b/>
        </w:rPr>
        <w:t>5.2.2</w:t>
      </w:r>
      <w:r>
        <w:t xml:space="preserve"> ПМИ должна установить применяемые средства измерений, условия, последовательность действий, пределы погрешности и наблюдаемые результаты без изменения требований настоящего ТЗ.</w:t>
      </w:r>
    </w:p>
    <w:p>
      <w:pPr>
        <w:pStyle w:val="Note"/>
        <w:jc w:val="both"/>
      </w:pPr>
      <w:r>
        <w:t>Открытый вопрос: допуски, пределы погрешности, состав средств измерений и условия измерений, не заданные исходными данными, подлежат уточнению в ПМИ.</w:t>
      </w:r>
    </w:p>
    <w:p>
      <w:pPr>
        <w:pStyle w:val="Heading2"/>
        <w:jc w:val="left"/>
        <w:keepNext/>
      </w:pPr>
      <w:r>
        <w:t>5.3 Требования к диагностическому обеспечению</w:t>
      </w:r>
    </w:p>
    <w:p>
      <w:pPr>
        <w:jc w:val="both"/>
      </w:pPr>
      <w:r>
        <w:rPr>
          <w:b/>
        </w:rPr>
        <w:t>5.3.1</w:t>
      </w:r>
      <w:r>
        <w:t xml:space="preserve"> Диагностическое обеспечение должно регистрировать LOS, LOF, AIS, RAI и счётчики ошибок, а также формировать сообщения и отчёты для РМО.</w:t>
      </w:r>
    </w:p>
    <w:p>
      <w:pPr>
        <w:pStyle w:val="Note"/>
        <w:jc w:val="both"/>
      </w:pPr>
      <w:r>
        <w:t>Проверка: тестом ввести каждое указанное состояние и ошибку и инспекцией РМО подтвердить регистрацию соответствующего события/счётчика и формирование сообщения и отчёта. Форматы, сроки хранения, точность временных отметок и пороги — [уточнить].</w:t>
      </w:r>
    </w:p>
    <w:p>
      <w:pPr>
        <w:pStyle w:val="Heading2"/>
        <w:jc w:val="left"/>
        <w:keepNext/>
      </w:pPr>
      <w:r>
        <w:t>5.4 Требования к программному обеспечению</w:t>
      </w:r>
    </w:p>
    <w:p>
      <w:pPr>
        <w:jc w:val="both"/>
      </w:pPr>
      <w:r>
        <w:rPr>
          <w:b/>
        </w:rPr>
        <w:t>5.4.1</w:t>
      </w:r>
      <w:r>
        <w:t xml:space="preserve"> В составе результатов разработки должны быть созданы bitstream функционального модуля E1 для Flash базовой платы, драйверы Linux и MIB для РМО / SNMP.</w:t>
      </w:r>
    </w:p>
    <w:p>
      <w:pPr>
        <w:pStyle w:val="Note"/>
        <w:jc w:val="both"/>
      </w:pPr>
      <w:r>
        <w:t>Проверка: инспекцией состава программных результатов и демонстрацией на базовой плате подтвердить загрузку bitstream, работу драйверов Linux и доступность объектов MIB через РМО / SNMP. Версии Linux, SNMP, состав и идентификаторы MIB — [уточнить].</w:t>
      </w:r>
    </w:p>
    <w:p>
      <w:pPr>
        <w:pStyle w:val="Heading1"/>
        <w:jc w:val="center"/>
        <w:keepNext/>
      </w:pPr>
      <w:r>
        <w:t>6 Требования к сырью, материалам и комплектующим изделиям</w:t>
      </w:r>
    </w:p>
    <w:p>
      <w:pPr>
        <w:jc w:val="both"/>
      </w:pPr>
      <w:r>
        <w:rPr>
          <w:b/>
        </w:rPr>
        <w:t>6.1</w:t>
      </w:r>
      <w:r>
        <w:t xml:space="preserve"> При выборе материалов и комплектующих должен обеспечиваться приоритет отечественных материалов и комплектующих с приёмкой ОТК.</w:t>
      </w:r>
    </w:p>
    <w:p>
      <w:pPr>
        <w:jc w:val="both"/>
      </w:pPr>
      <w:r>
        <w:rPr>
          <w:b/>
        </w:rPr>
        <w:t>6.2</w:t>
      </w:r>
      <w:r>
        <w:t xml:space="preserve">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Note"/>
        <w:jc w:val="both"/>
      </w:pPr>
      <w:r>
        <w:t>Проверка: анализом перечней элементов, спецификаций и документов ОТК подтвердить приоритет отечественных позиций и приёмку; для импортной ЭКБ — отсутствие аналога и промышленный температурный диапазон. Порядок документирования отсутствия аналога — [уточнить].</w:t>
      </w:r>
    </w:p>
    <w:p>
      <w:pPr>
        <w:pStyle w:val="Heading1"/>
        <w:jc w:val="center"/>
        <w:keepNext/>
      </w:pPr>
      <w:r>
        <w:t>7 Требования к консервации, упаковке и маркировке</w:t>
      </w:r>
    </w:p>
    <w:p>
      <w:pPr>
        <w:jc w:val="both"/>
      </w:pPr>
      <w:r>
        <w:rPr>
          <w:b/>
        </w:rPr>
        <w:t>7.1</w:t>
      </w:r>
      <w:r>
        <w:t xml:space="preserve"> На изделие должны наноситься децимальный номер, серийный номер и обозначение ревизии.</w:t>
      </w:r>
    </w:p>
    <w:p>
      <w:pPr>
        <w:jc w:val="both"/>
      </w:pPr>
      <w:r>
        <w:rPr>
          <w:b/>
        </w:rPr>
        <w:t>7.2</w:t>
      </w:r>
      <w:r>
        <w:t xml:space="preserve"> Порты должны иметь маркировку E1-1…E1-8.</w:t>
      </w:r>
    </w:p>
    <w:p>
      <w:pPr>
        <w:jc w:val="both"/>
      </w:pPr>
      <w:r>
        <w:rPr>
          <w:b/>
        </w:rPr>
        <w:t>7.3</w:t>
      </w:r>
      <w:r>
        <w:t xml:space="preserve"> Каждое изделие должно поставляться в индивидуальной таре с ESD-защитой.</w:t>
      </w:r>
    </w:p>
    <w:p>
      <w:pPr>
        <w:jc w:val="both"/>
      </w:pPr>
      <w:r>
        <w:rPr>
          <w:b/>
        </w:rPr>
        <w:t>7.4</w:t>
      </w:r>
      <w:r>
        <w:t xml:space="preserve"> Срок хранения изделия в заводской таре должен составлять не менее 1 года по ГОСТ 15150.</w:t>
      </w:r>
    </w:p>
    <w:p>
      <w:pPr>
        <w:pStyle w:val="Note"/>
        <w:jc w:val="both"/>
      </w:pPr>
      <w:r>
        <w:t>Проверка: инспекцией подтвердить наличие и читаемость маркировки, индивидуальную тару и ESD-защиту; анализом документации и/или испытанием подтвердить срок хранения. Условия консервации, категория условий хранения, способы нанесения маркировки и метод подтверждения срока хранения — [уточнить]; до уточнения дополнительные условия не устанавливаются.</w:t>
      </w:r>
    </w:p>
    <w:p>
      <w:pPr>
        <w:pStyle w:val="Heading1"/>
        <w:jc w:val="center"/>
        <w:keepNext/>
      </w:pPr>
      <w:r>
        <w:t>8 Специальные требования</w:t>
      </w:r>
    </w:p>
    <w:p>
      <w:pPr>
        <w:jc w:val="both"/>
      </w:pPr>
      <w:r>
        <w:rPr>
          <w:b/>
        </w:rPr>
        <w:t>8.1</w:t>
      </w:r>
      <w:r>
        <w:t xml:space="preserve"> Телеметрия РМО должна быть реализована на C++/Qt.</w:t>
      </w:r>
    </w:p>
    <w:p>
      <w:pPr>
        <w:jc w:val="both"/>
      </w:pPr>
      <w:r>
        <w:rPr>
          <w:b/>
        </w:rPr>
        <w:t>8.2</w:t>
      </w:r>
      <w:r>
        <w:t xml:space="preserve"> РМО должно отображать мнемосхему восьми портов, состояния LOS, LOF, AIS и RAI, счётчики G.826, выбранный профиль SAToP/CESoPSN и источник тактирования.</w:t>
      </w:r>
    </w:p>
    <w:p>
      <w:pPr>
        <w:jc w:val="both"/>
      </w:pPr>
      <w:r>
        <w:rPr>
          <w:b/>
        </w:rPr>
        <w:t>8.3</w:t>
      </w:r>
      <w:r>
        <w:t xml:space="preserve"> РМО должно обеспечивать команды включения и отключения портов, изменения джиттер-буфера, управления диагностическими петлями и PRBS.</w:t>
      </w:r>
    </w:p>
    <w:p>
      <w:pPr>
        <w:pStyle w:val="Note"/>
        <w:jc w:val="both"/>
      </w:pPr>
      <w:r>
        <w:t>Проверка: демонстрацией на восьми портах подтвердить отображение всех перечисленных состояний и параметров; для каждой команды выполнить действие и наблюдать соответствующее изменение состояния изделия. Требования к ролям доступа, реакции на недопустимые команды, протоколу подтверждения и безопасному состоянию при потере управления — [уточнить].</w:t>
      </w:r>
    </w:p>
    <w:p>
      <w:pPr>
        <w:pageBreakBefore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Align w:val="top"/>
          </w:tcPr>
          <w:p>
            <w:pPr/>
            <w:r>
              <w:rPr>
                <w:b/>
              </w:rPr>
              <w:t>РАЗРАБОТАЛ</w:t>
            </w:r>
            <w:r>
              <w:br/>
            </w:r>
            <w:r>
              <w:t>Должность: [уточнить]</w:t>
            </w:r>
            <w:r>
              <w:br/>
            </w:r>
            <w:r>
              <w:t>ООО «тушканчик»</w:t>
            </w:r>
          </w:p>
        </w:tc>
        <w:tc>
          <w:tcPr>
            <w:tcW w:w="3000" w:type="dxa"/>
            <w:vAlign w:val="top"/>
          </w:tcPr>
          <w:p>
            <w:pPr/>
            <w:r>
              <w:t>__________</w:t>
            </w:r>
            <w:r>
              <w:br/>
            </w:r>
            <w:r>
              <w:t>подпись</w:t>
            </w:r>
          </w:p>
        </w:tc>
        <w:tc>
          <w:tcPr>
            <w:tcW w:w="3000" w:type="dxa"/>
            <w:vAlign w:val="top"/>
          </w:tcPr>
          <w:p>
            <w:pPr/>
            <w:r>
              <w:t>[уточнить]</w:t>
            </w:r>
            <w:r>
              <w:br/>
            </w:r>
            <w:r>
              <w:t>инициалы, фамилия</w:t>
            </w:r>
            <w:r>
              <w:br/>
            </w:r>
            <w:r>
              <w:t>«___» ______ 20__ г.</w:t>
            </w:r>
          </w:p>
        </w:tc>
      </w:tr>
      <w:tr>
        <w:tc>
          <w:tcPr>
            <w:tcW w:w="3000" w:type="dxa"/>
            <w:vAlign w:val="top"/>
          </w:tcPr>
          <w:p>
            <w:pPr/>
            <w:r>
              <w:rPr>
                <w:b/>
              </w:rPr>
              <w:t>СОГЛАСОВАНО</w:t>
            </w:r>
            <w:r>
              <w:br/>
            </w:r>
            <w:r>
              <w:t>Организация: [уточнить]</w:t>
            </w:r>
            <w:r>
              <w:br/>
            </w:r>
            <w:r>
              <w:t>Должность: [уточнить]</w:t>
            </w:r>
          </w:p>
        </w:tc>
        <w:tc>
          <w:tcPr>
            <w:tcW w:w="3000" w:type="dxa"/>
            <w:vAlign w:val="top"/>
          </w:tcPr>
          <w:p>
            <w:pPr/>
            <w:r>
              <w:t>__________</w:t>
            </w:r>
            <w:r>
              <w:br/>
            </w:r>
            <w:r>
              <w:t>подпись</w:t>
            </w:r>
          </w:p>
        </w:tc>
        <w:tc>
          <w:tcPr>
            <w:tcW w:w="3000" w:type="dxa"/>
            <w:vAlign w:val="top"/>
          </w:tcPr>
          <w:p>
            <w:pPr/>
            <w:r>
              <w:t>[уточнить]</w:t>
            </w:r>
            <w:r>
              <w:br/>
            </w:r>
            <w:r>
              <w:t>инициалы, фамилия</w:t>
            </w:r>
            <w:r>
              <w:br/>
            </w:r>
            <w:r>
              <w:t>«___» ______ 20__ г.</w:t>
            </w:r>
          </w:p>
        </w:tc>
      </w:tr>
    </w:tbl>
    <w:sectPr>
      <w:headerReference w:type="default" r:id="rId1"/>
      <w:pgSz w:w="11906" w:h="16838"/>
      <w:pgMar w:top="1134" w:right="850" w:bottom="1134" w:left="1417" w:header="567" w:footer="567" w:gutter="0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tabs>
          <w:tab w:val="num" w:pos="567"/>
        </w:tabs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4"/>
        <w:szCs w:val="24"/>
        <w:lang w:val="ru-RU"/>
      </w:rPr>
    </w:rPrDefault>
    <w:pPrDefault>
      <w:pPr>
        <w:spacing w:after="120" w:line="300" w:lineRule="auto"/>
        <w:jc w:val="both"/>
      </w:pPr>
    </w:pPrDefault>
  </w:docDefaults>
  <w:style w:type="paragraph" w:default="1" w:styleId="Normal">
    <w:name w:val="Обычный"/>
  </w:style>
  <w:style w:type="paragraph" w:styleId="Heading1">
    <w:name w:val="Заголовок 1"/>
    <w:basedOn w:val="Normal"/>
    <w:next w:val="Normal"/>
    <w:pPr>
      <w:spacing w:before="240" w:after="200"/>
      <w:keepNext/>
      <w:jc w:val="center"/>
    </w:pPr>
    <w:rPr>
      <w:b/>
      <w:sz w:val="28"/>
    </w:rPr>
  </w:style>
  <w:style w:type="paragraph" w:styleId="Heading2">
    <w:name w:val="Заголовок 2"/>
    <w:basedOn w:val="Normal"/>
    <w:next w:val="Normal"/>
    <w:pPr>
      <w:spacing w:before="200" w:after="120"/>
      <w:keepNext/>
    </w:pPr>
    <w:rPr>
      <w:b/>
      <w:sz w:val="24"/>
    </w:rPr>
  </w:style>
  <w:style w:type="paragraph" w:styleId="Heading3">
    <w:name w:val="Заголовок 3"/>
    <w:basedOn w:val="Normal"/>
    <w:next w:val="Normal"/>
    <w:pPr>
      <w:keepNext/>
    </w:pPr>
    <w:rPr>
      <w:b/>
    </w:rPr>
  </w:style>
  <w:style w:type="paragraph" w:styleId="Note">
    <w:name w:val="Примечание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«Развитие-ТСА»</dc:title>
  <dc:subject>Субплата 8×E1 и функциональный модуль E1</dc:subject>
  <dc:creator>ООО «тушканчик»</dc:creator>
  <dcterms:created xsi:type="dcterms:W3CDTF">2026-10-03T00:00:00Z</dcterms:created>
</cp:coreProperties>
</file>