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t xml:space="preserve">Заказчик (НИО заказчика)</w:t>
            </w:r>
            <w:r>
              <w:br/>
            </w:r>
            <w:r>
              <w:t xml:space="preserve">[уточнить]</w:t>
            </w:r>
            <w:r>
              <w:t xml:space="preserve">Подпись: ____________</w:t>
            </w:r>
            <w:r>
              <w:br/>
            </w:r>
            <w:r>
              <w:t xml:space="preserve">Инициалы, фамилия: [уточнить]</w:t>
            </w:r>
            <w:r>
              <w:br/>
            </w:r>
            <w:r>
              <w:t xml:space="preserve">«___» __________ 20__ г.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СОГЛАСОВАНО</w:t>
            </w:r>
            <w:r>
              <w:br/>
            </w:r>
            <w:r>
              <w:br/>
            </w:r>
            <w:r>
              <w:t xml:space="preserve">Исполнитель составной части ОКР</w:t>
            </w:r>
            <w:r>
              <w:br/>
            </w:r>
            <w:r>
              <w:t xml:space="preserve">ООО «тушканчик»</w:t>
            </w:r>
            <w:r>
              <w:t xml:space="preserve">Подпись: ____________</w:t>
            </w:r>
            <w:r>
              <w:br/>
            </w:r>
            <w:r>
              <w:t xml:space="preserve">Инициалы, фамилия: [уточнить]</w:t>
            </w:r>
            <w:r>
              <w:br/>
            </w:r>
            <w:r>
              <w:t xml:space="preserve">«___» __________ 20__ г.</w:t>
            </w:r>
          </w:p>
        </w:tc>
        <w:tc>
          <w:tcPr>
            <w:tcW w:w="2500" w:type="dxa"/>
          </w:tcPr>
          <w:p>
            <w:r>
              <w:rPr>
                <w:b/>
              </w:rPr>
              <w:t xml:space="preserve">УТВЕРЖДАЮ</w:t>
            </w:r>
            <w:r>
              <w:br/>
            </w:r>
            <w:r>
              <w:br/>
            </w:r>
            <w:r>
              <w:t xml:space="preserve">Головной исполнитель ОКР</w:t>
            </w:r>
            <w:r>
              <w:br/>
            </w:r>
            <w:r>
              <w:t xml:space="preserve">[уточнить]</w:t>
            </w:r>
            <w:r>
              <w:t xml:space="preserve">Подпись: ____________</w:t>
            </w:r>
            <w:r>
              <w:br/>
            </w:r>
            <w:r>
              <w:t xml:space="preserve">Инициалы, фамилия: [уточнить]</w:t>
            </w:r>
            <w:r>
              <w:br/>
            </w:r>
            <w:r>
              <w:t xml:space="preserve">«___» __________ 20__ г.</w:t>
            </w:r>
          </w:p>
        </w:tc>
      </w:tr>
    </w:tbl>
    <w:p>
      <w:pPr>
        <w:jc w:val="center"/>
        <w:pStyle w:val="Heading1"/>
      </w:pPr>
      <w:r>
        <w:t xml:space="preserve">ТЕХНИЧЕСКОЕ ЗАДАНИЕ</w:t>
      </w:r>
      <w:r>
        <w:br/>
      </w:r>
      <w:r>
        <w:t xml:space="preserve">НА СОСТАВНУЮ ЧАСТЬ ОПЫТНО-КОНСТРУКТОРСКОЙ РАБОТЫ</w:t>
      </w:r>
    </w:p>
    <w:p>
      <w:pPr>
        <w:jc w:val="center"/>
      </w:pPr>
      <w:r>
        <w:rPr>
          <w:b/>
        </w:rPr>
        <w:t xml:space="preserve">Разработка сменной интерфейсной субплаты 8×E1 и функционального модуля E1 для универсального базового модуля AMC семейства ДММП</w:t>
      </w:r>
    </w:p>
    <w:p>
      <w:pPr>
        <w:jc w:val="center"/>
      </w:pPr>
      <w:r>
        <w:t xml:space="preserve">Шифр ОКР «Развитие-ТСА»</w:t>
      </w:r>
    </w:p>
    <w:p>
      <w:pPr>
        <w:jc w:val="center"/>
      </w:pPr>
      <w:r>
        <w:t xml:space="preserve">Обозначение составной части изделия: [уточнить]</w:t>
      </w:r>
    </w:p>
    <w:p>
      <w:pPr>
        <w:jc w:val="center"/>
      </w:pPr>
      <w:r>
        <w:t xml:space="preserve">[место составления: уточнить]</w:t>
      </w:r>
      <w:r>
        <w:br/>
      </w:r>
      <w:r>
        <w:t xml:space="preserve">2026 г.</w:t>
      </w:r>
    </w:p>
    <w:p>
      <w:r>
        <w:br w:type="page"/>
      </w:r>
    </w:p>
    <w:p>
      <w:pPr>
        <w:jc w:val="center"/>
        <w:pStyle w:val="Heading2"/>
      </w:pPr>
      <w:r>
        <w:t xml:space="preserve">ЛИСТ СОГЛАСОВАНИЯ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Наименование организации</w:t>
            </w:r>
          </w:p>
        </w:tc>
        <w:tc>
          <w:tcPr>
            <w:tcW w:w="2500" w:type="dxa"/>
          </w:tcPr>
          <w:p>
            <w:r>
              <w:t xml:space="preserve">Должность</w:t>
            </w:r>
          </w:p>
        </w:tc>
        <w:tc>
          <w:tcPr>
            <w:tcW w:w="2500" w:type="dxa"/>
          </w:tcPr>
          <w:p>
            <w:r>
              <w:t xml:space="preserve">Подпись, инициалы, фамилия</w:t>
            </w:r>
          </w:p>
        </w:tc>
        <w:tc>
          <w:tcPr>
            <w:tcW w:w="2500" w:type="dxa"/>
          </w:tcPr>
          <w:p>
            <w:r>
              <w:t xml:space="preserve">Дата</w:t>
            </w:r>
          </w:p>
        </w:tc>
      </w:tr>
      <w:tr>
        <w:tc>
          <w:tcPr>
            <w:tcW w:w="2500" w:type="dxa"/>
          </w:tcPr>
          <w:p>
            <w:r>
              <w:t xml:space="preserve">Заказчик (НИО заказчика) — [уточнить]</w:t>
            </w:r>
          </w:p>
        </w:tc>
        <w:tc>
          <w:tcPr>
            <w:tcW w:w="2500" w:type="dxa"/>
          </w:tcPr>
          <w:p>
            <w:r>
              <w:t xml:space="preserve">[уточнить]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  <w:tr>
        <w:tc>
          <w:tcPr>
            <w:tcW w:w="2500" w:type="dxa"/>
          </w:tcPr>
          <w:p>
            <w:r>
              <w:t xml:space="preserve">Исполнитель СЧ ОКР — ООО «тушканчик»</w:t>
            </w:r>
          </w:p>
        </w:tc>
        <w:tc>
          <w:tcPr>
            <w:tcW w:w="2500" w:type="dxa"/>
          </w:tcPr>
          <w:p>
            <w:r>
              <w:t xml:space="preserve">[уточнить]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  <w:tr>
        <w:tc>
          <w:tcPr>
            <w:tcW w:w="2500" w:type="dxa"/>
          </w:tcPr>
          <w:p>
            <w:r>
              <w:t xml:space="preserve">Головной исполнитель ОКР — [уточнить]</w:t>
            </w:r>
          </w:p>
        </w:tc>
        <w:tc>
          <w:tcPr>
            <w:tcW w:w="2500" w:type="dxa"/>
          </w:tcPr>
          <w:p>
            <w:r>
              <w:t xml:space="preserve">[уточнить]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</w:tbl>
    <w:p>
      <w:pPr>
        <w:jc w:val="both"/>
      </w:pPr>
      <w:r>
        <w:t xml:space="preserve">Примечание — реквизиты, подписи и даты в настоящем проекте ТЗ не являются подтверждёнными сведениями.</w:t>
      </w:r>
    </w:p>
    <w:p>
      <w:r>
        <w:br w:type="page"/>
      </w:r>
    </w:p>
    <w:p>
      <w:pPr>
        <w:jc w:val="center"/>
        <w:pStyle w:val="Heading2"/>
      </w:pPr>
      <w:r>
        <w:t xml:space="preserve">ПЕРЕЧЕНЬ ОБОЗНАЧЕНИЙ И СОКРАЩЕНИЙ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Сокращение (термин)</w:t>
            </w:r>
          </w:p>
        </w:tc>
        <w:tc>
          <w:tcPr>
            <w:tcW w:w="2500" w:type="dxa"/>
          </w:tcPr>
          <w:p>
            <w:r>
              <w:t xml:space="preserve">Значение в настоящем ТЗ</w:t>
            </w:r>
          </w:p>
        </w:tc>
      </w:tr>
      <w:tr>
        <w:tc>
          <w:tcPr>
            <w:tcW w:w="2500" w:type="dxa"/>
          </w:tcPr>
          <w:p>
            <w:r>
              <w:t xml:space="preserve">AMC</w:t>
            </w:r>
          </w:p>
        </w:tc>
        <w:tc>
          <w:tcPr>
            <w:tcW w:w="2500" w:type="dxa"/>
          </w:tcPr>
          <w:p>
            <w:r>
              <w:t xml:space="preserve">Advanced Mezzanine Card; модуль форм-фактора AMC по PICMG AMC.0 R2.0.</w:t>
            </w:r>
          </w:p>
        </w:tc>
      </w:tr>
      <w:tr>
        <w:tc>
          <w:tcPr>
            <w:tcW w:w="2500" w:type="dxa"/>
          </w:tcPr>
          <w:p>
            <w:r>
              <w:t xml:space="preserve">ПЛИС</w:t>
            </w:r>
          </w:p>
        </w:tc>
        <w:tc>
          <w:tcPr>
            <w:tcW w:w="2500" w:type="dxa"/>
          </w:tcPr>
          <w:p>
            <w:r>
              <w:t xml:space="preserve">Программируемая логическая интегральная схема.</w:t>
            </w:r>
          </w:p>
        </w:tc>
      </w:tr>
      <w:tr>
        <w:tc>
          <w:tcPr>
            <w:tcW w:w="2500" w:type="dxa"/>
          </w:tcPr>
          <w:p>
            <w:r>
              <w:t xml:space="preserve">B2B</w:t>
            </w:r>
          </w:p>
        </w:tc>
        <w:tc>
          <w:tcPr>
            <w:tcW w:w="2500" w:type="dxa"/>
          </w:tcPr>
          <w:p>
            <w:r>
              <w:t xml:space="preserve">Межплатное соединение (board-to-board) субплаты с базовой платой.</w:t>
            </w:r>
          </w:p>
        </w:tc>
      </w:tr>
      <w:tr>
        <w:tc>
          <w:tcPr>
            <w:tcW w:w="2500" w:type="dxa"/>
          </w:tcPr>
          <w:p>
            <w:r>
              <w:t xml:space="preserve">Board ID</w:t>
            </w:r>
          </w:p>
        </w:tc>
        <w:tc>
          <w:tcPr>
            <w:tcW w:w="2500" w:type="dxa"/>
          </w:tcPr>
          <w:p>
            <w:r>
              <w:t xml:space="preserve">Идентификатор субплаты, хранимый в EEPROM и используемый базовой платой для выбора bitstream.</w:t>
            </w:r>
          </w:p>
        </w:tc>
      </w:tr>
      <w:tr>
        <w:tc>
          <w:tcPr>
            <w:tcW w:w="2500" w:type="dxa"/>
          </w:tcPr>
          <w:p>
            <w:r>
              <w:t xml:space="preserve">MMC</w:t>
            </w:r>
          </w:p>
        </w:tc>
        <w:tc>
          <w:tcPr>
            <w:tcW w:w="2500" w:type="dxa"/>
          </w:tcPr>
          <w:p>
            <w:r>
              <w:t xml:space="preserve">Контроллер управления модулем (Module Management Controller).</w:t>
            </w:r>
          </w:p>
        </w:tc>
      </w:tr>
      <w:tr>
        <w:tc>
          <w:tcPr>
            <w:tcW w:w="2500" w:type="dxa"/>
          </w:tcPr>
          <w:p>
            <w:r>
              <w:t xml:space="preserve">РМО</w:t>
            </w:r>
          </w:p>
        </w:tc>
        <w:tc>
          <w:tcPr>
            <w:tcW w:w="2500" w:type="dxa"/>
          </w:tcPr>
          <w:p>
            <w:r>
              <w:t xml:space="preserve">Рабочее место оператора.</w:t>
            </w:r>
          </w:p>
        </w:tc>
      </w:tr>
      <w:tr>
        <w:tc>
          <w:tcPr>
            <w:tcW w:w="2500" w:type="dxa"/>
          </w:tcPr>
          <w:p>
            <w:r>
              <w:t xml:space="preserve">ОКР; СЧ ОКР</w:t>
            </w:r>
          </w:p>
        </w:tc>
        <w:tc>
          <w:tcPr>
            <w:tcW w:w="2500" w:type="dxa"/>
          </w:tcPr>
          <w:p>
            <w:r>
              <w:t xml:space="preserve">Опытно-конструкторская работа; составная часть опытно-конструкторской работы.</w:t>
            </w:r>
          </w:p>
        </w:tc>
      </w:tr>
      <w:tr>
        <w:tc>
          <w:tcPr>
            <w:tcW w:w="2500" w:type="dxa"/>
          </w:tcPr>
          <w:p>
            <w:r>
              <w:t xml:space="preserve">РКД; ПМИ</w:t>
            </w:r>
          </w:p>
        </w:tc>
        <w:tc>
          <w:tcPr>
            <w:tcW w:w="2500" w:type="dxa"/>
          </w:tcPr>
          <w:p>
            <w:r>
              <w:t xml:space="preserve">Рабочая конструкторская документация; программа и методика испытаний.</w:t>
            </w:r>
          </w:p>
        </w:tc>
      </w:tr>
      <w:tr>
        <w:tc>
          <w:tcPr>
            <w:tcW w:w="2500" w:type="dxa"/>
          </w:tcPr>
          <w:p>
            <w:r>
              <w:t xml:space="preserve">E1; TDM; SDH; PDH</w:t>
            </w:r>
          </w:p>
        </w:tc>
        <w:tc>
          <w:tcPr>
            <w:tcW w:w="2500" w:type="dxa"/>
          </w:tcPr>
          <w:p>
            <w:r>
              <w:t xml:space="preserve">Цифровой тракт E1; мультиплексирование с разделением по времени; синхронная цифровая иерархия; плезиохронная цифровая иерархия.</w:t>
            </w:r>
          </w:p>
        </w:tc>
      </w:tr>
      <w:tr>
        <w:tc>
          <w:tcPr>
            <w:tcW w:w="2500" w:type="dxa"/>
          </w:tcPr>
          <w:p>
            <w:r>
              <w:t xml:space="preserve">LIU; EEPROM; ESD</w:t>
            </w:r>
          </w:p>
        </w:tc>
        <w:tc>
          <w:tcPr>
            <w:tcW w:w="2500" w:type="dxa"/>
          </w:tcPr>
          <w:p>
            <w:r>
              <w:t xml:space="preserve">Линейный интерфейсный блок; электрически стираемая перепрограммируемая постоянная память; электростатический разряд.</w:t>
            </w:r>
          </w:p>
        </w:tc>
      </w:tr>
      <w:tr>
        <w:tc>
          <w:tcPr>
            <w:tcW w:w="2500" w:type="dxa"/>
          </w:tcPr>
          <w:p>
            <w:r>
              <w:t xml:space="preserve">SAToP; CESoPSN</w:t>
            </w:r>
          </w:p>
        </w:tc>
        <w:tc>
          <w:tcPr>
            <w:tcW w:w="2500" w:type="dxa"/>
          </w:tcPr>
          <w:p>
            <w:r>
              <w:t xml:space="preserve">Профили передачи соответственно неструктурированного и структурированного TDM по пакетной сети согласно указанным RFC.</w:t>
            </w:r>
          </w:p>
        </w:tc>
      </w:tr>
      <w:tr>
        <w:tc>
          <w:tcPr>
            <w:tcW w:w="2500" w:type="dxa"/>
          </w:tcPr>
          <w:p>
            <w:r>
              <w:t xml:space="preserve">AIS; LOS; LOF; RAI</w:t>
            </w:r>
          </w:p>
        </w:tc>
        <w:tc>
          <w:tcPr>
            <w:tcW w:w="2500" w:type="dxa"/>
          </w:tcPr>
          <w:p>
            <w:r>
              <w:t xml:space="preserve">Сигнал индикации аварии; потеря сигнала; потеря кадровой синхронизации; удалённая индикация аварии.</w:t>
            </w:r>
          </w:p>
        </w:tc>
      </w:tr>
      <w:tr>
        <w:tc>
          <w:tcPr>
            <w:tcW w:w="2500" w:type="dxa"/>
          </w:tcPr>
          <w:p>
            <w:r>
              <w:t xml:space="preserve">ACR; TCLK; PDV</w:t>
            </w:r>
          </w:p>
        </w:tc>
        <w:tc>
          <w:tcPr>
            <w:tcW w:w="2500" w:type="dxa"/>
          </w:tcPr>
          <w:p>
            <w:r>
              <w:t xml:space="preserve">Адаптивное восстановление тактовой частоты; системная тактовая частота; вариация задержки пакетов.</w:t>
            </w:r>
          </w:p>
        </w:tc>
      </w:tr>
      <w:tr>
        <w:tc>
          <w:tcPr>
            <w:tcW w:w="2500" w:type="dxa"/>
          </w:tcPr>
          <w:p>
            <w:r>
              <w:t xml:space="preserve">CRC-4; CAS; CCS; TS</w:t>
            </w:r>
          </w:p>
        </w:tc>
        <w:tc>
          <w:tcPr>
            <w:tcW w:w="2500" w:type="dxa"/>
          </w:tcPr>
          <w:p>
            <w:r>
              <w:t xml:space="preserve">Циклический контроль с избыточностью; канально-ассоциированная сигнализация; общеканальная сигнализация; временной интервал.</w:t>
            </w:r>
          </w:p>
        </w:tc>
      </w:tr>
      <w:tr>
        <w:tc>
          <w:tcPr>
            <w:tcW w:w="2500" w:type="dxa"/>
          </w:tcPr>
          <w:p>
            <w:r>
              <w:t xml:space="preserve">PRBS; BER; ES; SES; UAS</w:t>
            </w:r>
          </w:p>
        </w:tc>
        <w:tc>
          <w:tcPr>
            <w:tcW w:w="2500" w:type="dxa"/>
          </w:tcPr>
          <w:p>
            <w:r>
              <w:t xml:space="preserve">Псевдослучайная двоичная последовательность; коэффициент битовых ошибок; секунды с ошибками; секунды с большим числом ошибок; секунды недоступности.</w:t>
            </w:r>
          </w:p>
        </w:tc>
      </w:tr>
      <w:tr>
        <w:tc>
          <w:tcPr>
            <w:tcW w:w="2500" w:type="dxa"/>
          </w:tcPr>
          <w:p>
            <w:r>
              <w:t xml:space="preserve">SNMP; MIB; QoS; MTBF; ОТК; ЭКБ</w:t>
            </w:r>
          </w:p>
        </w:tc>
        <w:tc>
          <w:tcPr>
            <w:tcW w:w="2500" w:type="dxa"/>
          </w:tcPr>
          <w:p>
            <w:r>
              <w:t xml:space="preserve">Протокол сетевого управления; база управляющей информации; качество обслуживания; средняя наработка на отказ; отдел технического контроля; электронная компонентная база.</w:t>
            </w:r>
          </w:p>
        </w:tc>
      </w:tr>
    </w:tbl>
    <w:p>
      <w:pPr>
        <w:jc w:val="center"/>
        <w:pStyle w:val="Heading2"/>
      </w:pPr>
      <w:r>
        <w:t xml:space="preserve">ПЕРЕЧЕНЬ ПРИМЕНИМЫХ НОРМАТИВНЫХ И СПРАВОЧНЫХ ДОКУМЕНТОВ</w:t>
      </w:r>
    </w:p>
    <w:p>
      <w:pPr>
        <w:jc w:val="both"/>
      </w:pPr>
      <w:r>
        <w:t xml:space="preserve">При разработке применяют следующие документы в части, применимой к настоящей СЧ ОКР: ITU-T G.703; ITU-T G.704; ITU-T G.823; ITU-T G.826; RFC 4553 (SAToP); RFC 5086 (CESoPSN); PICMG AMC.0 R2.0; ГОСТ РВ 20.39.304-98; ГОСТ В 25803-91; ГОСТ 2.114-2016; ГОСТ РВ 15.201-2003; ГОСТ 15150; ГОСТ 15.016-2016.</w:t>
      </w:r>
    </w:p>
    <w:p>
      <w:pPr>
        <w:jc w:val="center"/>
        <w:pStyle w:val="Heading1"/>
      </w:pPr>
      <w:r>
        <w:t xml:space="preserve">1 Наименование, шифр, основание, исполнители и сроки ОКР</w:t>
      </w:r>
    </w:p>
    <w:p>
      <w:pPr>
        <w:jc w:val="both"/>
      </w:pPr>
      <w:r>
        <w:rPr>
          <w:b/>
        </w:rPr>
        <w:t xml:space="preserve">1.1</w:t>
      </w:r>
      <w:r>
        <w:t xml:space="preserve"> Наименование СЧ ОКР: разработка сменной интерфейсной субплаты 8×E1 и функционального модуля E1 для универсального базового модуля AMC семейства ДММП.</w:t>
      </w:r>
    </w:p>
    <w:p>
      <w:pPr>
        <w:jc w:val="both"/>
      </w:pPr>
      <w:r>
        <w:rPr>
          <w:b/>
        </w:rPr>
        <w:t xml:space="preserve">1.2</w:t>
      </w:r>
      <w:r>
        <w:t xml:space="preserve"> Шифр ОКР — «Развитие-ТСА». Дополнительный шифр СЧ ОКР: [уточнить].</w:t>
      </w:r>
    </w:p>
    <w:p>
      <w:pPr>
        <w:jc w:val="both"/>
      </w:pPr>
      <w:r>
        <w:rPr>
          <w:b/>
        </w:rPr>
        <w:t xml:space="preserve">1.3</w:t>
      </w:r>
      <w:r>
        <w:t xml:space="preserve"> Основание выполнения — приказ об открытии инициативной ОКР № [уточнить] от [уточнить].</w:t>
      </w:r>
    </w:p>
    <w:p>
      <w:pPr>
        <w:jc w:val="both"/>
      </w:pPr>
      <w:r>
        <w:rPr>
          <w:b/>
        </w:rPr>
        <w:t xml:space="preserve">1.4</w:t>
      </w:r>
      <w:r>
        <w:t xml:space="preserve"> Исполнитель СЧ ОКР — ООО «тушканчик» (условное наименование из исходных данных). Головной исполнитель ОКР и заказчик: [уточнить].</w:t>
      </w:r>
    </w:p>
    <w:p>
      <w:pPr>
        <w:jc w:val="both"/>
      </w:pPr>
      <w:r>
        <w:rPr>
          <w:b/>
        </w:rPr>
        <w:t xml:space="preserve">1.5</w:t>
      </w:r>
      <w:r>
        <w:t xml:space="preserve"> Сроки выполнения СЧ ОКР увязывают с утверждённым планом-графиком разработки РКД, программной документации, изготовления образцов и испытаний. Даты начала, окончания и план-график: [уточнить].</w:t>
      </w:r>
    </w:p>
    <w:p>
      <w:pPr>
        <w:jc w:val="center"/>
        <w:pStyle w:val="Heading1"/>
      </w:pPr>
      <w:r>
        <w:t xml:space="preserve">2 Цель выполнения, наименование, назначение и область применения изделия</w:t>
      </w:r>
    </w:p>
    <w:p>
      <w:pPr>
        <w:jc w:val="both"/>
      </w:pPr>
      <w:r>
        <w:rPr>
          <w:b/>
        </w:rPr>
        <w:t xml:space="preserve">2.1</w:t>
      </w:r>
      <w:r>
        <w:t xml:space="preserve"> Целью является подключение восьми независимых линий E1 к платформе ДММП с передачей TDM через Ethernet, компенсацией сетевого джиттера и восстановлением частоты.</w:t>
      </w:r>
    </w:p>
    <w:p>
      <w:pPr>
        <w:jc w:val="both"/>
      </w:pPr>
      <w:r>
        <w:rPr>
          <w:b/>
        </w:rPr>
        <w:t xml:space="preserve">2.2</w:t>
      </w:r>
      <w:r>
        <w:t xml:space="preserve"> Изделие включает аппаратную часть — сменную субплату 8×E1 с интерфейсами, защитой, трансиверами и EEPROM — и логическую часть: функциональный модуль ПЛИС базовой платы, автоматически активируемый по Board ID.</w:t>
      </w:r>
    </w:p>
    <w:p>
      <w:pPr>
        <w:jc w:val="both"/>
      </w:pPr>
      <w:r>
        <w:rPr>
          <w:b/>
        </w:rPr>
        <w:t xml:space="preserve">2.3</w:t>
      </w:r>
      <w:r>
        <w:t xml:space="preserve"> AMC устанавливают на Carrier платформы ДММП. Области применения: TDM/SDH/PDH, телефонные станции, диспетчеризация и АСУ ТП энергетических и промышленных предприятий.</w:t>
      </w:r>
    </w:p>
    <w:p>
      <w:pPr>
        <w:jc w:val="both"/>
      </w:pPr>
      <w:r>
        <w:rPr>
          <w:b/>
        </w:rPr>
        <w:t xml:space="preserve">2.4</w:t>
      </w:r>
      <w:r>
        <w:t xml:space="preserve"> Обозначение изделия: [уточнить].</w:t>
      </w:r>
    </w:p>
    <w:p>
      <w:pPr>
        <w:jc w:val="center"/>
        <w:pStyle w:val="Heading1"/>
      </w:pPr>
      <w:r>
        <w:t xml:space="preserve">3 Технические требования к изделию</w:t>
      </w:r>
    </w:p>
    <w:p>
      <w:pPr>
        <w:jc w:val="both"/>
        <w:pStyle w:val="Heading3"/>
      </w:pPr>
      <w:r>
        <w:t xml:space="preserve">3.1 Архитектура и линии E1</w:t>
      </w:r>
    </w:p>
    <w:p>
      <w:pPr>
        <w:jc w:val="both"/>
      </w:pPr>
      <w:r>
        <w:rPr>
          <w:b/>
        </w:rPr>
        <w:t xml:space="preserve">3.1.1</w:t>
      </w:r>
      <w:r>
        <w:t xml:space="preserve"> Субплата должна содержать 8 экранированных разъёмов RJ-48C (8P8C), защиту, импульсные трансформаторы, восьмиканальный LIU, EEPROM Board ID и индикацию портов.</w:t>
      </w:r>
    </w:p>
    <w:p>
      <w:pPr>
        <w:jc w:val="both"/>
      </w:pPr>
      <w:r>
        <w:rPr>
          <w:b/>
        </w:rPr>
        <w:t xml:space="preserve">3.1.2</w:t>
      </w:r>
      <w:r>
        <w:t xml:space="preserve"> Через B2B базовая плата должна предоставлять +12 В, +3,3 В, MMC и тактирование, а также выбирать bitstream E1 из Flash по Board ID. Числовое значение Board ID: [уточнить].</w:t>
      </w:r>
    </w:p>
    <w:p>
      <w:pPr>
        <w:jc w:val="both"/>
      </w:pPr>
      <w:r>
        <w:rPr>
          <w:b/>
        </w:rPr>
        <w:t xml:space="preserve">3.1.3</w:t>
      </w:r>
      <w:r>
        <w:t xml:space="preserve"> Каждый порт должен реализовывать симметричный двухпарный интерфейс 120 Ом, скорость 2048 кбит/с (2,048 Мбит/с) ±50 ppm, кодирование HDB3 или AMI и маску импульса по ITU-T G.703.</w:t>
      </w:r>
    </w:p>
    <w:p>
      <w:pPr>
        <w:jc w:val="both"/>
      </w:pPr>
      <w:r>
        <w:rPr>
          <w:b/>
        </w:rPr>
        <w:t xml:space="preserve">3.1.4</w:t>
      </w:r>
      <w:r>
        <w:t xml:space="preserve"> Каждый порт должен иметь трансформаторную изоляцию не менее 1500 В RMS при 50 Гц в течение 1 мин, а также супрессорную защиту от перенапряжений и ESD.</w:t>
      </w:r>
    </w:p>
    <w:p>
      <w:pPr>
        <w:jc w:val="both"/>
      </w:pPr>
      <w:r>
        <w:rPr>
          <w:b/>
        </w:rPr>
        <w:t xml:space="preserve">3.1.5</w:t>
      </w:r>
      <w:r>
        <w:t xml:space="preserve"> Короткое замыкание, обрыв или перепутывание пар одного порта не должны влиять на другие порты и модуль.</w:t>
      </w:r>
    </w:p>
    <w:p>
      <w:pPr>
        <w:jc w:val="both"/>
      </w:pPr>
      <w:r>
        <w:rPr>
          <w:b/>
        </w:rPr>
        <w:t xml:space="preserve">3.1.6 Проверка.</w:t>
      </w:r>
      <w:r>
        <w:t xml:space="preserve"> Требования 3.1.1–3.1.2 проверяют инспекцией состава и Board ID; 3.1.3 — измерением сопротивления, скорости, точности частоты и маски импульса по ITU-T G.703; 3.1.4 — испытанием изоляции и защит; 3.1.5 — испытанием каждого указанного повреждения одного порта при наблюдении остальных портов и модуля. Погрешности измерений, средства и условия проверки маски импульса, изоляции и защит: [уточнить].</w:t>
      </w:r>
    </w:p>
    <w:p>
      <w:pPr>
        <w:jc w:val="both"/>
        <w:pStyle w:val="Heading3"/>
      </w:pPr>
      <w:r>
        <w:t xml:space="preserve">3.2 Обработка, тактирование и аварии</w:t>
      </w:r>
    </w:p>
    <w:p>
      <w:pPr>
        <w:jc w:val="both"/>
      </w:pPr>
      <w:r>
        <w:rPr>
          <w:b/>
        </w:rPr>
        <w:t xml:space="preserve">3.2.1</w:t>
      </w:r>
      <w:r>
        <w:t xml:space="preserve"> Независимо для каждого порта должны поддерживаться: профиль А SAToP по RFC 4553 — полный неструктурированный поток с настраиваемой полезной нагрузкой и минимальной аппаратной задержкой; профиль Б CESoPSN по RFC 5086 — N×64 кбит/с, TS1–TS31, G.704, CRC-4, CAS (TS16) и CCS.</w:t>
      </w:r>
    </w:p>
    <w:p>
      <w:pPr>
        <w:jc w:val="both"/>
      </w:pPr>
      <w:r>
        <w:rPr>
          <w:b/>
        </w:rPr>
        <w:t xml:space="preserve">3.2.2</w:t>
      </w:r>
      <w:r>
        <w:t xml:space="preserve"> Fabric 10GbE должен применять Strict Priority QoS, работать без потерь и с минимальной задержкой коммутации.</w:t>
      </w:r>
    </w:p>
    <w:p>
      <w:pPr>
        <w:jc w:val="both"/>
      </w:pPr>
      <w:r>
        <w:rPr>
          <w:b/>
        </w:rPr>
        <w:t xml:space="preserve">3.2.3</w:t>
      </w:r>
      <w:r>
        <w:t xml:space="preserve"> Джиттер-буфер каждого канала должен иметь диапазон 1–64 мс для компенсации PDV. При потере пакетов или аварии сети должно выдаваться AIS («все единицы») с сохранением тактирования.</w:t>
      </w:r>
    </w:p>
    <w:p>
      <w:pPr>
        <w:jc w:val="both"/>
      </w:pPr>
      <w:r>
        <w:rPr>
          <w:b/>
        </w:rPr>
        <w:t xml:space="preserve">3.2.4</w:t>
      </w:r>
      <w:r>
        <w:t xml:space="preserve"> Передатчик должен поддерживать режимы системного TCLK, ACR от пакетной сети, Free-run/Holdover и Loop timing. Восстановленная частота 2,048 МГц любого выбранного входного порта должна передаваться через B2B как кандидат синхронизации шасси. Джиттер и вандер должны соответствовать ITU-T G.823.</w:t>
      </w:r>
    </w:p>
    <w:p>
      <w:pPr>
        <w:jc w:val="both"/>
      </w:pPr>
      <w:r>
        <w:rPr>
          <w:b/>
        </w:rPr>
        <w:t xml:space="preserve">3.2.5</w:t>
      </w:r>
      <w:r>
        <w:t xml:space="preserve"> Должен выполняться непрерывный контроль LOS, LOF в кадровом режиме, AIS, RAI, CRC-4, нарушений HDB3 и Frame slips. Должна вестись статистика ITU-T G.826: ES, SES, UAS.</w:t>
      </w:r>
    </w:p>
    <w:p>
      <w:pPr>
        <w:jc w:val="both"/>
      </w:pPr>
      <w:r>
        <w:rPr>
          <w:b/>
        </w:rPr>
        <w:t xml:space="preserve">3.2.6</w:t>
      </w:r>
      <w:r>
        <w:t xml:space="preserve"> Для каждого порта должны поддерживаться Local Line Loopback, Payload Loopback и Packet Loopback, а также встроенные генератор и анализатор PRBS 2^15−1 и 2^23−1 для BER-тестов.</w:t>
      </w:r>
    </w:p>
    <w:p>
      <w:pPr>
        <w:jc w:val="both"/>
      </w:pPr>
      <w:r>
        <w:rPr>
          <w:b/>
        </w:rPr>
        <w:t xml:space="preserve">3.2.7 Проверка.</w:t>
      </w:r>
      <w:r>
        <w:t xml:space="preserve"> Требования 3.2.1–3.2.2 проверяют демонстрацией передачи в каждом профиле и инспекцией конфигурации QoS; 3.2.3 — испытанием диапазона буфера и имитацией потери пакетов/аварии сети с наблюдением AIS и тактирования; 3.2.4 — испытанием всех режимов и выбранного входного порта с измерением частоты кандидата B2B и джиттера/вандера; 3.2.5 — имитацией каждого контролируемого состояния и наблюдением индикации/счётчиков; 3.2.6 — испытанием всех петель и обеих PRBS с анализом BER. Незаданные критерии «минимальной» задержки, «без потерь», «минимальной» задержки коммутации, метод выбора порта, условия сети и критерии BER: [уточнить].</w:t>
      </w:r>
    </w:p>
    <w:p>
      <w:pPr>
        <w:jc w:val="both"/>
        <w:pStyle w:val="Heading3"/>
      </w:pPr>
      <w:r>
        <w:t xml:space="preserve">3.3 Конструкция, эксплуатация, стойкость и надёжность</w:t>
      </w:r>
    </w:p>
    <w:p>
      <w:pPr>
        <w:jc w:val="both"/>
      </w:pPr>
      <w:r>
        <w:rPr>
          <w:b/>
        </w:rPr>
        <w:t xml:space="preserve">3.3.1</w:t>
      </w:r>
      <w:r>
        <w:t xml:space="preserve"> Субплата должна крепиться к общему лонжерону-теплоотводу и лицевой панели; разъёмы должны сохранять доступ к защёлкам, обзор светодиодов и вентиляцию.</w:t>
      </w:r>
    </w:p>
    <w:p>
      <w:pPr>
        <w:jc w:val="both"/>
      </w:pPr>
      <w:r>
        <w:rPr>
          <w:b/>
        </w:rPr>
        <w:t xml:space="preserve">3.3.2</w:t>
      </w:r>
      <w:r>
        <w:t xml:space="preserve"> При всех активных портах мощность субплаты должна быть не более 12 Вт, сборки — не более 35 Вт.</w:t>
      </w:r>
    </w:p>
    <w:p>
      <w:pPr>
        <w:jc w:val="both"/>
      </w:pPr>
      <w:r>
        <w:rPr>
          <w:b/>
        </w:rPr>
        <w:t xml:space="preserve">3.3.3</w:t>
      </w:r>
      <w:r>
        <w:t xml:space="preserve"> Конструкция должна соответствовать Single Full-size AMC.0: 73,5 × 180,6 × 28,95 мм; межплатное крепление — на 4–6 металлических стойках М2,5.</w:t>
      </w:r>
    </w:p>
    <w:p>
      <w:pPr>
        <w:jc w:val="both"/>
      </w:pPr>
      <w:r>
        <w:rPr>
          <w:b/>
        </w:rPr>
        <w:t xml:space="preserve">3.3.4</w:t>
      </w:r>
      <w:r>
        <w:t xml:space="preserve"> Стойкость должна соответствовать ГОСТ РВ 20.39.304-98, группам 1.1, 1.3, 1.4.1, исполнению «О»; рабочая температура — от −10 до +50 °C, предельная — от −40 до +65 °C; синусоидальная вибрация — 5g; удары — 15g. Радиопомехи — группа 1.1.1 ГОСТ В 25803-91.</w:t>
      </w:r>
    </w:p>
    <w:p>
      <w:pPr>
        <w:jc w:val="both"/>
      </w:pPr>
      <w:r>
        <w:rPr>
          <w:b/>
        </w:rPr>
        <w:t xml:space="preserve">3.3.5</w:t>
      </w:r>
      <w:r>
        <w:t xml:space="preserve"> MTBF должен быть не менее 15 000 ч; назначенный срок службы — не менее 20 лет.</w:t>
      </w:r>
    </w:p>
    <w:p>
      <w:pPr>
        <w:jc w:val="both"/>
      </w:pPr>
      <w:r>
        <w:rPr>
          <w:b/>
        </w:rPr>
        <w:t xml:space="preserve">3.3.6 Проверка.</w:t>
      </w:r>
      <w:r>
        <w:t xml:space="preserve"> Требования 3.3.1 и 3.3.3 проверяют инспекцией и измерением; 3.3.2 — измерением при всех активных портах; 3.3.4 — испытаниями по указанным группам, температурам, вибрации, ударам и радиопомехам; 3.3.5 — анализом и/или испытанием по ПМИ. Методика расчёта/подтверждения MTBF, критерии сохранения функций после воздействий, погрешности измерения мощности и конкретные ПМИ: [уточнить].</w:t>
      </w:r>
    </w:p>
    <w:p>
      <w:pPr>
        <w:jc w:val="center"/>
        <w:pStyle w:val="Heading1"/>
      </w:pPr>
      <w:r>
        <w:t xml:space="preserve">4 Технико-экономические требования</w:t>
      </w:r>
    </w:p>
    <w:p>
      <w:pPr>
        <w:jc w:val="both"/>
      </w:pPr>
      <w:r>
        <w:rPr>
          <w:b/>
        </w:rPr>
        <w:t xml:space="preserve">4.1</w:t>
      </w:r>
      <w:r>
        <w:t xml:space="preserve"> Технико-экономические требования не предъявляются.</w:t>
      </w:r>
    </w:p>
    <w:p>
      <w:pPr>
        <w:jc w:val="center"/>
        <w:pStyle w:val="Heading1"/>
      </w:pPr>
      <w:r>
        <w:t xml:space="preserve">5 Требования к видам обеспечения</w:t>
      </w:r>
    </w:p>
    <w:p>
      <w:pPr>
        <w:jc w:val="both"/>
      </w:pPr>
      <w:r>
        <w:rPr>
          <w:b/>
        </w:rPr>
        <w:t xml:space="preserve">5.1 Нормативное обеспечение.</w:t>
      </w:r>
      <w:r>
        <w:t xml:space="preserve"> Должны применяться документы, перечисленные в разделе «Перечень применимых нормативных и справочных документов», в применимой части.</w:t>
      </w:r>
    </w:p>
    <w:p>
      <w:pPr>
        <w:jc w:val="both"/>
      </w:pPr>
      <w:r>
        <w:rPr>
          <w:b/>
        </w:rPr>
        <w:t xml:space="preserve">5.2 Метрологическое обеспечение.</w:t>
      </w:r>
      <w:r>
        <w:t xml:space="preserve"> Должны быть предусмотрены средства и методики измерения маски импульса E1, джиттера/вандера, BER и задержки пакетизации. Допуски, погрешности, состав средств и методик: [уточнить].</w:t>
      </w:r>
    </w:p>
    <w:p>
      <w:pPr>
        <w:jc w:val="both"/>
      </w:pPr>
      <w:r>
        <w:rPr>
          <w:b/>
        </w:rPr>
        <w:t xml:space="preserve">5.3 Диагностическое обеспечение.</w:t>
      </w:r>
      <w:r>
        <w:t xml:space="preserve"> Должны обеспечиваться регистрация LOS/LOF/AIS/RAI и счётчиков ошибок, формирование сообщений и отчётов для РМО.</w:t>
      </w:r>
    </w:p>
    <w:p>
      <w:pPr>
        <w:jc w:val="both"/>
      </w:pPr>
      <w:r>
        <w:rPr>
          <w:b/>
        </w:rPr>
        <w:t xml:space="preserve">5.4 Программное обеспечение.</w:t>
      </w:r>
      <w:r>
        <w:t xml:space="preserve"> Должны быть предусмотрены bitstream функционального модуля для Flash базовой платы, драйверы Linux и MIB для РМО/SNMP.</w:t>
      </w:r>
    </w:p>
    <w:p>
      <w:pPr>
        <w:jc w:val="both"/>
      </w:pPr>
      <w:r>
        <w:rPr>
          <w:b/>
        </w:rPr>
        <w:t xml:space="preserve">5.5 Проверка.</w:t>
      </w:r>
      <w:r>
        <w:t xml:space="preserve"> Нормативное, метрологическое и программное обеспечение проверяют инспекцией состава и демонстрацией предусмотренных средств; диагностическое — имитацией состояний из 5.3 и наблюдением сообщений и отчётов РМО. Формат сообщений, отчётов, MIB и интерфейс РМО: [уточнить].</w:t>
      </w:r>
    </w:p>
    <w:p>
      <w:pPr>
        <w:jc w:val="center"/>
        <w:pStyle w:val="Heading1"/>
      </w:pPr>
      <w:r>
        <w:t xml:space="preserve">6 Требования к сырью, материалам и комплектующим изделиям</w:t>
      </w:r>
    </w:p>
    <w:p>
      <w:pPr>
        <w:jc w:val="both"/>
      </w:pPr>
      <w:r>
        <w:rPr>
          <w:b/>
        </w:rPr>
        <w:t xml:space="preserve">6.1</w:t>
      </w:r>
      <w:r>
        <w:t xml:space="preserve"> Приоритет должен отдаваться отечественным материалам и комплектующим изделиям с приёмкой ОТК.</w:t>
      </w:r>
    </w:p>
    <w:p>
      <w:pPr>
        <w:jc w:val="both"/>
      </w:pPr>
      <w:r>
        <w:rPr>
          <w:b/>
        </w:rPr>
        <w:t xml:space="preserve">6.2</w:t>
      </w:r>
      <w:r>
        <w:t xml:space="preserve"> При отсутствии аналогов допускается применять импортную ЭКБ промышленного температурного диапазона.</w:t>
      </w:r>
    </w:p>
    <w:p>
      <w:pPr>
        <w:jc w:val="both"/>
      </w:pPr>
      <w:r>
        <w:rPr>
          <w:b/>
        </w:rPr>
        <w:t xml:space="preserve">6.3 Проверка.</w:t>
      </w:r>
      <w:r>
        <w:t xml:space="preserve"> Выполнение 6.1–6.2 проверяют инспекцией перечней применённых материалов и комплектующих, документов приёмки ОТК и обоснований отсутствия отечественных аналогов. Перечень допустимой импортной ЭКБ: [уточнить].</w:t>
      </w:r>
    </w:p>
    <w:p>
      <w:pPr>
        <w:jc w:val="center"/>
        <w:pStyle w:val="Heading1"/>
      </w:pPr>
      <w:r>
        <w:t xml:space="preserve">7 Требования к консервации, упаковке и маркировке</w:t>
      </w:r>
    </w:p>
    <w:p>
      <w:pPr>
        <w:jc w:val="both"/>
      </w:pPr>
      <w:r>
        <w:rPr>
          <w:b/>
        </w:rPr>
        <w:t xml:space="preserve">7.1</w:t>
      </w:r>
      <w:r>
        <w:t xml:space="preserve"> На изделии должны быть нанесены децимальный и серийный номера, ревизия и маркировка портов E1-1…E1-8.</w:t>
      </w:r>
    </w:p>
    <w:p>
      <w:pPr>
        <w:jc w:val="both"/>
      </w:pPr>
      <w:r>
        <w:rPr>
          <w:b/>
        </w:rPr>
        <w:t xml:space="preserve">7.2</w:t>
      </w:r>
      <w:r>
        <w:t xml:space="preserve"> Должна быть предусмотрена индивидуальная тара с ESD-защитой.</w:t>
      </w:r>
    </w:p>
    <w:p>
      <w:pPr>
        <w:jc w:val="both"/>
      </w:pPr>
      <w:r>
        <w:rPr>
          <w:b/>
        </w:rPr>
        <w:t xml:space="preserve">7.3</w:t>
      </w:r>
      <w:r>
        <w:t xml:space="preserve"> Хранение в заводской таре должно обеспечиваться не менее 1 года по ГОСТ 15150.</w:t>
      </w:r>
    </w:p>
    <w:p>
      <w:pPr>
        <w:jc w:val="both"/>
      </w:pPr>
      <w:r>
        <w:rPr>
          <w:b/>
        </w:rPr>
        <w:t xml:space="preserve">7.4</w:t>
      </w:r>
      <w:r>
        <w:t xml:space="preserve"> Условия и методы консервации: [уточнить].</w:t>
      </w:r>
    </w:p>
    <w:p>
      <w:pPr>
        <w:jc w:val="both"/>
      </w:pPr>
      <w:r>
        <w:rPr>
          <w:b/>
        </w:rPr>
        <w:t xml:space="preserve">7.5 Проверка.</w:t>
      </w:r>
      <w:r>
        <w:t xml:space="preserve"> Требования 7.1–7.2 проверяют инспекцией маркировки и индивидуальной тары; 7.3 — анализом требований к хранению по ГОСТ 15150. Незаданные условия хранения и консервации не являются установленными настоящим ТЗ.</w:t>
      </w:r>
    </w:p>
    <w:p>
      <w:pPr>
        <w:jc w:val="center"/>
        <w:pStyle w:val="Heading1"/>
      </w:pPr>
      <w:r>
        <w:t xml:space="preserve">8 Специальные требования</w:t>
      </w:r>
    </w:p>
    <w:p>
      <w:pPr>
        <w:jc w:val="both"/>
      </w:pPr>
      <w:r>
        <w:rPr>
          <w:b/>
        </w:rPr>
        <w:t xml:space="preserve">8.1</w:t>
      </w:r>
      <w:r>
        <w:t xml:space="preserve"> Телеметрия РМО (C++/Qt) должна содержать мнемосхему 8 портов, LOS/LOF/AIS/RAI, счётчики G.826, SAToP/CESoPSN и источник тактирования.</w:t>
      </w:r>
    </w:p>
    <w:p>
      <w:pPr>
        <w:jc w:val="both"/>
      </w:pPr>
      <w:r>
        <w:rPr>
          <w:b/>
        </w:rPr>
        <w:t xml:space="preserve">8.2</w:t>
      </w:r>
      <w:r>
        <w:t xml:space="preserve"> Должны поддерживаться команды включения/отключения портов, изменения джиттер-буфера, управления диагностическими петлями и PRBS.</w:t>
      </w:r>
    </w:p>
    <w:p>
      <w:pPr>
        <w:jc w:val="both"/>
      </w:pPr>
      <w:r>
        <w:rPr>
          <w:b/>
        </w:rPr>
        <w:t xml:space="preserve">8.3 Проверка.</w:t>
      </w:r>
      <w:r>
        <w:t xml:space="preserve"> Требование 8.1 проверяют демонстрацией РМО при состояниях и режимах, указанных в 8.1; требование 8.2 — подачей каждой команды и наблюдением соответствующего состояния порта, буфера, петли или PRBS. Протокол обмена, права доступа и формат команд: [уточнить].</w:t>
      </w:r>
    </w:p>
    <w:p>
      <w:pPr>
        <w:jc w:val="center"/>
        <w:pStyle w:val="Heading2"/>
      </w:pPr>
      <w:r>
        <w:t xml:space="preserve">ПОДПИСИ РАЗРАБОТЧИКОВ И СОГЛАСУЮЩИХ ЛИЦ</w:t>
      </w:r>
    </w:p>
    <w:tbl>
      <w:tblPr>
        <w:tblW w:w="0" w:type="auto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r>
        <w:tc>
          <w:tcPr>
            <w:tcW w:w="2500" w:type="dxa"/>
          </w:tcPr>
          <w:p>
            <w:r>
              <w:t xml:space="preserve">Роль</w:t>
            </w:r>
          </w:p>
        </w:tc>
        <w:tc>
          <w:tcPr>
            <w:tcW w:w="2500" w:type="dxa"/>
          </w:tcPr>
          <w:p>
            <w:r>
              <w:t xml:space="preserve">Должность, организация</w:t>
            </w:r>
          </w:p>
        </w:tc>
        <w:tc>
          <w:tcPr>
            <w:tcW w:w="2500" w:type="dxa"/>
          </w:tcPr>
          <w:p>
            <w:r>
              <w:t xml:space="preserve">Подпись, инициалы, фамилия</w:t>
            </w:r>
          </w:p>
        </w:tc>
        <w:tc>
          <w:tcPr>
            <w:tcW w:w="2500" w:type="dxa"/>
          </w:tcPr>
          <w:p>
            <w:r>
              <w:t xml:space="preserve">Дата</w:t>
            </w:r>
          </w:p>
        </w:tc>
      </w:tr>
      <w:tr>
        <w:tc>
          <w:tcPr>
            <w:tcW w:w="2500" w:type="dxa"/>
          </w:tcPr>
          <w:p>
            <w:r>
              <w:t xml:space="preserve">Разработчик ТЗ</w:t>
            </w:r>
          </w:p>
        </w:tc>
        <w:tc>
          <w:tcPr>
            <w:tcW w:w="2500" w:type="dxa"/>
          </w:tcPr>
          <w:p>
            <w:r>
              <w:t xml:space="preserve">[уточнить], ООО «тушканчик»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  <w:tr>
        <w:tc>
          <w:tcPr>
            <w:tcW w:w="2500" w:type="dxa"/>
          </w:tcPr>
          <w:p>
            <w:r>
              <w:t xml:space="preserve">Согласование</w:t>
            </w:r>
          </w:p>
        </w:tc>
        <w:tc>
          <w:tcPr>
            <w:tcW w:w="2500" w:type="dxa"/>
          </w:tcPr>
          <w:p>
            <w:r>
              <w:t xml:space="preserve">Головной исполнитель ОКР — [уточнить]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  <w:tr>
        <w:tc>
          <w:tcPr>
            <w:tcW w:w="2500" w:type="dxa"/>
          </w:tcPr>
          <w:p>
            <w:r>
              <w:t xml:space="preserve">Согласование</w:t>
            </w:r>
          </w:p>
        </w:tc>
        <w:tc>
          <w:tcPr>
            <w:tcW w:w="2500" w:type="dxa"/>
          </w:tcPr>
          <w:p>
            <w:r>
              <w:t xml:space="preserve">Другая согласующая организация — [уточнить]</w:t>
            </w:r>
          </w:p>
        </w:tc>
        <w:tc>
          <w:tcPr>
            <w:tcW w:w="2500" w:type="dxa"/>
          </w:tcPr>
          <w:p>
            <w:r>
              <w:t xml:space="preserve">____________ / [уточнить]</w:t>
            </w:r>
          </w:p>
        </w:tc>
        <w:tc>
          <w:tcPr>
            <w:tcW w:w="2500" w:type="dxa"/>
          </w:tcPr>
          <w:p>
            <w:r>
              <w:t xml:space="preserve">«___» ______ 20__ г.</w:t>
            </w:r>
          </w:p>
        </w:tc>
      </w:tr>
    </w:tbl>
    <w:sectPr>
      <w:pgSz w:w="11906" w:h="16838"/>
      <w:pgMar w:top="1134" w:right="1021" w:bottom="1134" w:left="1417"/>
      <w:pgNumType w:fmt="decimal"/>
      <w:headerReference xmlns:r="http://schemas.openxmlformats.org/officeDocument/2006/relationships" w:type="default" r:id="rId1"/>
    </w:sectPr>
  </w:body>
</w:document>
</file>

<file path=word/header1.xml><?xml version="1.0" encoding="utf-8"?>
<w:hdr xmlns:w="http://schemas.openxmlformats.org/wordprocessingml/2006/main">
  <w:p>
    <w:pPr>
      <w:jc w:val="right"/>
    </w:pPr>
    <w:r>
      <w:fldChar w:fldCharType="begin"/>
    </w:r>
    <w:r>
      <w:instrText> PAGE </w:instrText>
    </w:r>
    <w:r>
      <w:fldChar w:fldCharType="end"/>
    </w:r>
  </w:p>
</w:hd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4"/>
      </w:rPr>
    </w:rPrDefault>
  </w:docDefaults>
  <w:style w:type="paragraph" w:styleId="Heading1">
    <w:name w:val="heading 1"/>
    <w:basedOn w:val="Normal"/>
    <w:rPr>
      <w:b/>
      <w:sz w:val="32"/>
    </w:rPr>
  </w:style>
  <w:style w:type="paragraph" w:styleId="Heading2">
    <w:name w:val="heading 2"/>
    <w:basedOn w:val="Normal"/>
    <w:rPr>
      <w:b/>
      <w:sz w:val="28"/>
    </w:rPr>
  </w:style>
  <w:style w:type="paragraph" w:styleId="Heading3">
    <w:name w:val="heading 3"/>
    <w:basedOn w:val="Normal"/>
    <w:rPr>
      <w:b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header" Target="header1.xml"/><Relationship Id="rId2" Type="http://schemas.openxmlformats.org/officeDocument/2006/relationships/styles" Target="styles.xml"/></Relationships>
</file>