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80"/>
      </w:pPr>
      <w:r>
        <w:rPr>
          <w:rFonts w:ascii="Arial" w:hAnsi="Arial"/>
          <w:sz w:val="20"/>
        </w:rPr>
        <w:t xml:space="preserve">СОГЛАСОВАНО
Заказчик / НИО заказчика: [уточнить]
Должность: [уточнить]
__________ / [уточнить] /   «___» __________ 20__ г.</w:t>
      </w:r>
    </w:p>
    <w:p>
      <w:pPr>
        <w:jc w:val="right"/>
        <w:spacing w:after="80"/>
      </w:pPr>
      <w:r>
        <w:rPr>
          <w:rFonts w:ascii="Arial" w:hAnsi="Arial"/>
          <w:sz w:val="20"/>
        </w:rPr>
        <w:t xml:space="preserve">УТВЕРЖДАЮ
Головной исполнитель ОКР: [уточнить]
Должность: [уточнить]
__________ / [уточнить] /   «___» __________ 20__ г.</w:t>
      </w:r>
    </w:p>
    <w:p>
      <w:pPr>
        <w:jc w:val="center"/>
        <w:spacing w:after="80"/>
      </w:pPr>
      <w:r>
        <w:rPr>
          <w:rFonts w:ascii="Arial" w:hAnsi="Arial"/>
          <w:sz w:val="20"/>
          <w:b/>
        </w:rPr>
        <w:t xml:space="preserve">ТЕХНИЧЕСКОЕ ЗАДАНИЕ
на выполнение составной части опытно-конструкторской работы
«Развитие-ТСА»
Сменная интерфейсная субплата E2/E3 и функциональный модуль PDH
для универсального базового модуля AMC семейства ДММП
Обозначение: [уточнить]   Регистрационный номер: [уточнить]   Дата: [уточнить]
Исполнитель: ООО «тушканчик» (условное наименование из исходных данных)</w:t>
      </w:r>
    </w:p>
    <w:p>
      <w:pPr>
        <w:spacing w:after="80"/>
      </w:pPr>
      <w:br w:type="page"/>
      <w:r>
        <w:rPr>
          <w:rFonts w:ascii="Arial" w:hAnsi="Arial"/>
          <w:sz w:val="20"/>
        </w:rPr>
        <w:t xml:space="preserve"/>
      </w:r>
    </w:p>
    <w:p>
      <w:pPr>
        <w:pStyle w:val="Heading1"/>
        <w:spacing w:after="80"/>
      </w:pPr>
      <w:r>
        <w:rPr>
          <w:rFonts w:ascii="Arial" w:hAnsi="Arial"/>
          <w:sz w:val="20"/>
          <w:b/>
        </w:rPr>
        <w:t xml:space="preserve">ЛИСТ СОГЛАСОВАНИЯ</w:t>
      </w:r>
    </w:p>
    <w:p>
      <w:pPr>
        <w:spacing w:after="80"/>
      </w:pPr>
      <w:r>
        <w:rPr>
          <w:rFonts w:ascii="Arial" w:hAnsi="Arial"/>
          <w:sz w:val="20"/>
        </w:rPr>
        <w:t xml:space="preserve">Проект ТЗ подлежит согласованию и утверждению в порядке ГОСТ 15.016-2016 для ТЗ на составную часть ОКР. Незаданные реквизиты подлежат уточнению.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D9EAF7"/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  <w:b/>
              </w:rPr>
              <w:t>Организация / подразделение</w:t>
            </w:r>
          </w:p>
        </w:tc>
        <w:tc>
          <w:tcPr>
            <w:shd w:fill="D9EAF7"/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  <w:b/>
              </w:rPr>
              <w:t>Должность</w:t>
            </w:r>
          </w:p>
        </w:tc>
        <w:tc>
          <w:tcPr>
            <w:shd w:fill="D9EAF7"/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  <w:b/>
              </w:rPr>
              <w:t>Ф. И. О.</w:t>
            </w:r>
          </w:p>
        </w:tc>
        <w:tc>
          <w:tcPr>
            <w:shd w:fill="D9EAF7"/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  <w:b/>
              </w:rPr>
              <w:t>Подпись</w:t>
            </w:r>
          </w:p>
        </w:tc>
        <w:tc>
          <w:tcPr>
            <w:shd w:fill="D9EAF7"/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  <w:b/>
              </w:rPr>
              <w:t>Дата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Заказчик либо НИО заказчика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Головной исполнитель ОКР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Исполнитель СЧ ОКР: ООО «тушканчик»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Иная организация / предприятие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[при необходимости]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</w:tr>
    </w:tbl>
    <w:p>
      <w:pPr>
        <w:spacing w:after="80"/>
      </w:pPr>
      <w:br w:type="page"/>
      <w:r>
        <w:rPr>
          <w:rFonts w:ascii="Arial" w:hAnsi="Arial"/>
          <w:sz w:val="20"/>
        </w:rPr>
        <w:t xml:space="preserve"/>
      </w:r>
    </w:p>
    <w:p>
      <w:pPr>
        <w:pStyle w:val="Heading1"/>
        <w:spacing w:after="80"/>
      </w:pPr>
      <w:r>
        <w:rPr>
          <w:rFonts w:ascii="Arial" w:hAnsi="Arial"/>
          <w:sz w:val="20"/>
          <w:b/>
        </w:rPr>
        <w:t xml:space="preserve">ПЕРЕЧЕНЬ ОБОЗНАЧЕНИЙ И СОКРАЩЕНИЙ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D9EAF7"/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  <w:b/>
              </w:rPr>
              <w:t>Обозначение</w:t>
            </w:r>
          </w:p>
        </w:tc>
        <w:tc>
          <w:tcPr>
            <w:shd w:fill="D9EAF7"/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  <w:b/>
              </w:rPr>
              <w:t>Раскрытие / значение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AMC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Advanced Mezzanine Card; формат и интерфейс сменной платы.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PDH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Плезиохронная цифровая иерархия.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ПЛИС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Программируемая логическая интегральная схема.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B2B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Board-to-Board; межплатное соединение.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Board ID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Идентификатор платы; для данной субплаты — 0x03.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MMC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Management Module Controller; интерфейс управления базовой платы.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РМО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Рабочее место оператора / система мониторинга и управления.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ОКР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Опытно-конструкторская работа.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РКД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Рабочая конструкторская документация.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ПМИ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Программа и методика испытаний.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TDM-over-Packet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Передача потоков с временным разделением каналов по пакетной сети.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E2oP, SAToP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Передача потоков E2/E3 по пакетной сети; SAToP — согласно RFC 4553.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TCLK, RX_CLK, ACR/DCR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Тактовые сигналы и режимы восстановления частоты, указанные в ТЗ.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LOS, AIS, BPV/CV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Признаки контроля потери сигнала, аварийной индикации и нарушений HDB3.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BER, PRBS, QoS, DPLL, MIB, ESD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Контроль ошибок, псевдослучайная последовательность, качество обслуживания, цифровая ФАПЧ, база управления, защита от статики.</w:t>
            </w:r>
          </w:p>
        </w:tc>
      </w:tr>
    </w:tbl>
    <w:p>
      <w:pPr>
        <w:spacing w:after="80"/>
      </w:pPr>
      <w:br w:type="page"/>
      <w:r>
        <w:rPr>
          <w:rFonts w:ascii="Arial" w:hAnsi="Arial"/>
          <w:sz w:val="20"/>
        </w:rPr>
        <w:t xml:space="preserve"/>
      </w:r>
    </w:p>
    <w:p>
      <w:pPr>
        <w:pStyle w:val="Heading1"/>
        <w:spacing w:after="80"/>
      </w:pPr>
      <w:r>
        <w:rPr>
          <w:rFonts w:ascii="Arial" w:hAnsi="Arial"/>
          <w:sz w:val="20"/>
          <w:b/>
        </w:rPr>
        <w:t xml:space="preserve">ПЕРЕЧЕНЬ ПРИМЕНИМЫХ НОРМАТИВНЫХ И СПРАВОЧНЫХ ДОКУМЕНТОВ</w:t>
      </w:r>
    </w:p>
    <w:p>
      <w:pPr>
        <w:spacing w:after="80"/>
      </w:pPr>
      <w:r>
        <w:rPr>
          <w:rFonts w:ascii="Arial" w:hAnsi="Arial"/>
          <w:sz w:val="20"/>
        </w:rPr>
        <w:t xml:space="preserve">• ITU-T G.703</w:t>
      </w:r>
    </w:p>
    <w:p>
      <w:pPr>
        <w:spacing w:after="80"/>
      </w:pPr>
      <w:r>
        <w:rPr>
          <w:rFonts w:ascii="Arial" w:hAnsi="Arial"/>
          <w:sz w:val="20"/>
        </w:rPr>
        <w:t xml:space="preserve">• ITU-T G.704</w:t>
      </w:r>
    </w:p>
    <w:p>
      <w:pPr>
        <w:spacing w:after="80"/>
      </w:pPr>
      <w:r>
        <w:rPr>
          <w:rFonts w:ascii="Arial" w:hAnsi="Arial"/>
          <w:sz w:val="20"/>
        </w:rPr>
        <w:t xml:space="preserve">• ITU-T G.751</w:t>
      </w:r>
    </w:p>
    <w:p>
      <w:pPr>
        <w:spacing w:after="80"/>
      </w:pPr>
      <w:r>
        <w:rPr>
          <w:rFonts w:ascii="Arial" w:hAnsi="Arial"/>
          <w:sz w:val="20"/>
        </w:rPr>
        <w:t xml:space="preserve">• ITU-T G.823</w:t>
      </w:r>
    </w:p>
    <w:p>
      <w:pPr>
        <w:spacing w:after="80"/>
      </w:pPr>
      <w:r>
        <w:rPr>
          <w:rFonts w:ascii="Arial" w:hAnsi="Arial"/>
          <w:sz w:val="20"/>
        </w:rPr>
        <w:t xml:space="preserve">• RFC 4553</w:t>
      </w:r>
    </w:p>
    <w:p>
      <w:pPr>
        <w:spacing w:after="80"/>
      </w:pPr>
      <w:r>
        <w:rPr>
          <w:rFonts w:ascii="Arial" w:hAnsi="Arial"/>
          <w:sz w:val="20"/>
        </w:rPr>
        <w:t xml:space="preserve">• PICMG AMC.0 R2.0</w:t>
      </w:r>
    </w:p>
    <w:p>
      <w:pPr>
        <w:spacing w:after="80"/>
      </w:pPr>
      <w:r>
        <w:rPr>
          <w:rFonts w:ascii="Arial" w:hAnsi="Arial"/>
          <w:sz w:val="20"/>
        </w:rPr>
        <w:t xml:space="preserve">• ГОСТ 15.016-2016</w:t>
      </w:r>
    </w:p>
    <w:p>
      <w:pPr>
        <w:spacing w:after="80"/>
      </w:pPr>
      <w:r>
        <w:rPr>
          <w:rFonts w:ascii="Arial" w:hAnsi="Arial"/>
          <w:sz w:val="20"/>
        </w:rPr>
        <w:t xml:space="preserve">• ГОСТ РВ 20.39.304-98</w:t>
      </w:r>
    </w:p>
    <w:p>
      <w:pPr>
        <w:spacing w:after="80"/>
      </w:pPr>
      <w:r>
        <w:rPr>
          <w:rFonts w:ascii="Arial" w:hAnsi="Arial"/>
          <w:sz w:val="20"/>
        </w:rPr>
        <w:t xml:space="preserve">• ГОСТ В 25803-91</w:t>
      </w:r>
    </w:p>
    <w:p>
      <w:pPr>
        <w:spacing w:after="80"/>
      </w:pPr>
      <w:r>
        <w:rPr>
          <w:rFonts w:ascii="Arial" w:hAnsi="Arial"/>
          <w:sz w:val="20"/>
        </w:rPr>
        <w:t xml:space="preserve">• ГОСТ 2.114-2016</w:t>
      </w:r>
    </w:p>
    <w:p>
      <w:pPr>
        <w:spacing w:after="80"/>
      </w:pPr>
      <w:r>
        <w:rPr>
          <w:rFonts w:ascii="Arial" w:hAnsi="Arial"/>
          <w:sz w:val="20"/>
        </w:rPr>
        <w:t xml:space="preserve">• ГОСТ РВ 15.201-2003</w:t>
      </w:r>
    </w:p>
    <w:p>
      <w:pPr>
        <w:spacing w:after="80"/>
      </w:pPr>
      <w:r>
        <w:rPr>
          <w:rFonts w:ascii="Arial" w:hAnsi="Arial"/>
          <w:sz w:val="20"/>
        </w:rPr>
        <w:t xml:space="preserve">• ГОСТ 15150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Издания и даты документов, кроме указанных в исходных данных, не установлены.</w:t>
      </w:r>
    </w:p>
    <w:p>
      <w:pPr>
        <w:spacing w:after="80"/>
      </w:pPr>
      <w:br w:type="page"/>
      <w:r>
        <w:rPr>
          <w:rFonts w:ascii="Arial" w:hAnsi="Arial"/>
          <w:sz w:val="20"/>
        </w:rPr>
        <w:t xml:space="preserve"/>
      </w:r>
    </w:p>
    <w:p>
      <w:pPr>
        <w:pStyle w:val="Heading1"/>
        <w:spacing w:after="80"/>
      </w:pPr>
      <w:r>
        <w:rPr>
          <w:rFonts w:ascii="Arial" w:hAnsi="Arial"/>
          <w:sz w:val="20"/>
          <w:b/>
        </w:rPr>
        <w:t xml:space="preserve">1 Наименование, шифр, основание, исполнители и сроки ОКР</w:t>
      </w:r>
    </w:p>
    <w:p>
      <w:pPr>
        <w:spacing w:after="80"/>
      </w:pPr>
      <w:r>
        <w:rPr>
          <w:rFonts w:ascii="Arial" w:hAnsi="Arial"/>
          <w:sz w:val="20"/>
        </w:rPr>
        <w:t xml:space="preserve">1.1 Наименование СЧ ОКР: сменная интерфейсная субплата E2/E3 и функциональный модуль PDH для универсального базового модуля AMC семейства ДММП.</w:t>
      </w:r>
    </w:p>
    <w:p>
      <w:pPr>
        <w:spacing w:after="80"/>
      </w:pPr>
      <w:r>
        <w:rPr>
          <w:rFonts w:ascii="Arial" w:hAnsi="Arial"/>
          <w:sz w:val="20"/>
        </w:rPr>
        <w:t xml:space="preserve">1.2 Шифр ОКР — «Развитие-ТСА». Дополнительный шифр СЧ ОКР — [уточнить].</w:t>
      </w:r>
    </w:p>
    <w:p>
      <w:pPr>
        <w:spacing w:after="80"/>
      </w:pPr>
      <w:r>
        <w:rPr>
          <w:rFonts w:ascii="Arial" w:hAnsi="Arial"/>
          <w:sz w:val="20"/>
        </w:rPr>
        <w:t xml:space="preserve">1.3 Основание — приказ об открытии инициативной ОКР № [уточнить] от [уточнить].</w:t>
      </w:r>
    </w:p>
    <w:p>
      <w:pPr>
        <w:spacing w:after="80"/>
      </w:pPr>
      <w:r>
        <w:rPr>
          <w:rFonts w:ascii="Arial" w:hAnsi="Arial"/>
          <w:sz w:val="20"/>
        </w:rPr>
        <w:t xml:space="preserve">1.4 Исполнитель — ООО «тушканчик» (условное наименование из исходных данных). Головной исполнитель ОКР — [уточнить].</w:t>
      </w:r>
    </w:p>
    <w:p>
      <w:pPr>
        <w:spacing w:after="80"/>
      </w:pPr>
      <w:r>
        <w:rPr>
          <w:rFonts w:ascii="Arial" w:hAnsi="Arial"/>
          <w:sz w:val="20"/>
        </w:rPr>
        <w:t xml:space="preserve">1.5 Сроки связать с утверждённым планом-графиком РКД, программной документации, изготовления образцов и испытаний; даты — [уточнить].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Проверка: Инспекция утверждённого плана-графика; конкретные даты подлежат уточнению.</w:t>
      </w:r>
    </w:p>
    <w:p>
      <w:pPr>
        <w:pStyle w:val="Heading1"/>
        <w:spacing w:after="80"/>
      </w:pPr>
      <w:r>
        <w:rPr>
          <w:rFonts w:ascii="Arial" w:hAnsi="Arial"/>
          <w:sz w:val="20"/>
          <w:b/>
        </w:rPr>
        <w:t xml:space="preserve">2 Цель выполнения, наименование, назначение и область применения изделия</w:t>
      </w:r>
    </w:p>
    <w:p>
      <w:pPr>
        <w:spacing w:after="80"/>
      </w:pPr>
      <w:r>
        <w:rPr>
          <w:rFonts w:ascii="Arial" w:hAnsi="Arial"/>
          <w:sz w:val="20"/>
        </w:rPr>
        <w:t xml:space="preserve">2.1 Разработать субплату и функциональный модуль PDH для подключения двух независимых потоков E2 и одного E3 к платформе ДММП через коаксиальные линии, обеспечения TDM-over-Packet, джиттер-буферизации и синхронизации.</w:t>
      </w:r>
    </w:p>
    <w:p>
      <w:pPr>
        <w:spacing w:after="80"/>
      </w:pPr>
      <w:r>
        <w:rPr>
          <w:rFonts w:ascii="Arial" w:hAnsi="Arial"/>
          <w:sz w:val="20"/>
        </w:rPr>
        <w:t xml:space="preserve">2.2 Область применения — PDH-тракты 8 и 34 Мбит/с в энергетике, на железнодорожном транспорте и у магистральных операторов.</w:t>
      </w:r>
    </w:p>
    <w:p>
      <w:pPr>
        <w:spacing w:after="80"/>
      </w:pPr>
      <w:r>
        <w:rPr>
          <w:rFonts w:ascii="Arial" w:hAnsi="Arial"/>
          <w:sz w:val="20"/>
        </w:rPr>
        <w:t xml:space="preserve">2.3 Аппаратная часть: субплата, интерфейсы, защита, трансиверы, EEPROM. Логическая часть: функциональный модуль ПЛИС базовой платы, автоматически активируемый по Board ID.</w:t>
      </w:r>
    </w:p>
    <w:p>
      <w:pPr>
        <w:spacing w:after="80"/>
      </w:pPr>
      <w:r>
        <w:rPr>
          <w:rFonts w:ascii="Arial" w:hAnsi="Arial"/>
          <w:sz w:val="20"/>
        </w:rPr>
        <w:t xml:space="preserve">2.4 Установка — AMC-разъём Carrier платформы ДММП. Базовая плата предоставляет +12 В, +3,3 В, MMC и тактирование; bitstream PDH автоматически загружается из Flash.</w:t>
      </w:r>
    </w:p>
    <w:p>
      <w:pPr>
        <w:spacing w:after="80"/>
      </w:pPr>
      <w:r>
        <w:rPr>
          <w:rFonts w:ascii="Arial" w:hAnsi="Arial"/>
          <w:sz w:val="20"/>
        </w:rPr>
        <w:t xml:space="preserve">2.5 Состав: субплата E2/E3; функциональный модуль PDH; экранированные адаптеры HARTING PushPull → две вилки BNC 75 Ом / DIN 1.0/2.3 с маркировкой TX/RX; программные компоненты раздела 5.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Проверка: Осмотр состава и сверка с РКД/спецификацией поставки.</w:t>
      </w:r>
    </w:p>
    <w:p>
      <w:pPr>
        <w:pStyle w:val="Heading1"/>
        <w:spacing w:after="80"/>
      </w:pPr>
      <w:r>
        <w:rPr>
          <w:rFonts w:ascii="Arial" w:hAnsi="Arial"/>
          <w:sz w:val="20"/>
          <w:b/>
        </w:rPr>
        <w:t xml:space="preserve">3 Технические требования к изделию</w:t>
      </w:r>
    </w:p>
    <w:p>
      <w:pPr>
        <w:pStyle w:val="Heading2"/>
        <w:spacing w:after="80"/>
      </w:pPr>
      <w:r>
        <w:rPr>
          <w:rFonts w:ascii="Arial" w:hAnsi="Arial"/>
          <w:sz w:val="20"/>
          <w:b/>
        </w:rPr>
        <w:t xml:space="preserve">3.1 Архитектура, разъёмы и кабели</w:t>
      </w:r>
    </w:p>
    <w:p>
      <w:pPr>
        <w:spacing w:after="80"/>
      </w:pPr>
      <w:r>
        <w:rPr>
          <w:rFonts w:ascii="Arial" w:hAnsi="Arial"/>
          <w:sz w:val="20"/>
        </w:rPr>
        <w:t xml:space="preserve">3.1.1 Соединение через B2B: три экранированных вибростойких HARTING PushPull 09452812560 с замковой фиксацией.</w:t>
      </w:r>
    </w:p>
    <w:p>
      <w:pPr>
        <w:spacing w:after="80"/>
      </w:pPr>
      <w:r>
        <w:rPr>
          <w:rFonts w:ascii="Arial" w:hAnsi="Arial"/>
          <w:sz w:val="20"/>
        </w:rPr>
        <w:t xml:space="preserve">3.1.2 Тракты 75 Ом; предусмотреть ВЧ-трансформаторы, LIU, EEPROM Board ID 0x03 и светодиоды.</w:t>
      </w:r>
    </w:p>
    <w:p>
      <w:pPr>
        <w:spacing w:after="80"/>
      </w:pPr>
      <w:r>
        <w:rPr>
          <w:rFonts w:ascii="Arial" w:hAnsi="Arial"/>
          <w:sz w:val="20"/>
        </w:rPr>
        <w:t xml:space="preserve">3.1.3 E2-1, E2-2 и E3-1 имеют отдельные TX/RX коаксиальные цепи 75 Ом. BNC 50 Ом запрещены по импедансу и габаритам.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Проверка: Осмотр РКД и измерение импеданса; оборудование и методика — [уточнить].</w:t>
      </w:r>
    </w:p>
    <w:p>
      <w:pPr>
        <w:pStyle w:val="Heading2"/>
        <w:spacing w:after="80"/>
      </w:pPr>
      <w:r>
        <w:rPr>
          <w:rFonts w:ascii="Arial" w:hAnsi="Arial"/>
          <w:sz w:val="20"/>
          <w:b/>
        </w:rPr>
        <w:t xml:space="preserve">3.2 Электрические параметры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D9EAF7"/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  <w:b/>
              </w:rPr>
              <w:t>Параметр</w:t>
            </w:r>
          </w:p>
        </w:tc>
        <w:tc>
          <w:tcPr>
            <w:shd w:fill="D9EAF7"/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  <w:b/>
              </w:rPr>
              <w:t>E2 (два порта)</w:t>
            </w:r>
          </w:p>
        </w:tc>
        <w:tc>
          <w:tcPr>
            <w:shd w:fill="D9EAF7"/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  <w:b/>
              </w:rPr>
              <w:t>E3 (один порт)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Скорость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8448 кбит/с (8,448 Мбит/с) ±30 ppm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34 368 кбит/с (34,368 Мбит/с) ±20 ppm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Код и сопротивление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HDB3, 75 Ом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HDB3, 75 Ом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Пиковое напряжение / длительность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2,37 В / 59 нс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1,0 В / 14,55 нс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Возвратные потери входа/выхода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≥18 дБ, 422–8448 кГц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≥18 дБ, 1720–34 368 кГц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Допустимое затухание кабеля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до 6 дБ на 4224 кГц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до 12 дБ на 17 184 кГц</w:t>
            </w:r>
          </w:p>
        </w:tc>
      </w:tr>
    </w:tbl>
    <w:p>
      <w:pPr>
        <w:spacing w:after="80"/>
      </w:pPr>
      <w:r>
        <w:rPr>
          <w:rFonts w:ascii="Arial" w:hAnsi="Arial"/>
          <w:sz w:val="20"/>
        </w:rPr>
        <w:t xml:space="preserve">3.2.1 Предусмотреть трансформаторную гальваноразвязку и импульсную защиту каждого порта. Структура E2 — G.704, E3 — G.751, электрические параметры — G.703.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Проверка: Измерение по применимым документам; средства и допуски — [уточнить].</w:t>
      </w:r>
    </w:p>
    <w:p>
      <w:pPr>
        <w:pStyle w:val="Heading2"/>
        <w:spacing w:after="80"/>
      </w:pPr>
      <w:r>
        <w:rPr>
          <w:rFonts w:ascii="Arial" w:hAnsi="Arial"/>
          <w:sz w:val="20"/>
          <w:b/>
        </w:rPr>
        <w:t xml:space="preserve">3.3 Пакетная передача, синхронизация и диагностика</w:t>
      </w:r>
    </w:p>
    <w:p>
      <w:pPr>
        <w:spacing w:after="80"/>
      </w:pPr>
      <w:r>
        <w:rPr>
          <w:rFonts w:ascii="Arial" w:hAnsi="Arial"/>
          <w:sz w:val="20"/>
        </w:rPr>
        <w:t xml:space="preserve">3.3.1 E3: SAToP по RFC 4553, полный поток с управляющим словом и контролем последовательности.</w:t>
      </w:r>
    </w:p>
    <w:p>
      <w:pPr>
        <w:spacing w:after="80"/>
      </w:pPr>
      <w:r>
        <w:rPr>
          <w:rFonts w:ascii="Arial" w:hAnsi="Arial"/>
          <w:sz w:val="20"/>
        </w:rPr>
        <w:t xml:space="preserve">3.3.2 E2: E2oP на архитектуре SAToP, полный поток с минимальной фиксированной задержкой. Величина задержки — [уточнить].</w:t>
      </w:r>
    </w:p>
    <w:p>
      <w:pPr>
        <w:spacing w:after="80"/>
      </w:pPr>
      <w:r>
        <w:rPr>
          <w:rFonts w:ascii="Arial" w:hAnsi="Arial"/>
          <w:sz w:val="20"/>
        </w:rPr>
        <w:t xml:space="preserve">3.3.3 Fabric 10GbE, Strict Priority QoS; джиттер-буфер каждого сервиса 1–64 мс.</w:t>
      </w:r>
    </w:p>
    <w:p>
      <w:pPr>
        <w:spacing w:after="80"/>
      </w:pPr>
      <w:r>
        <w:rPr>
          <w:rFonts w:ascii="Arial" w:hAnsi="Arial"/>
          <w:sz w:val="20"/>
        </w:rPr>
        <w:t xml:space="preserve">3.3.4 Потеря пакетов или авария сети вызывают непрерывный AIS на выходе.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Проверка: Тестовая потеря пакетов/авария сети; длительность и восстановление — [уточнить].</w:t>
      </w:r>
    </w:p>
    <w:p>
      <w:pPr>
        <w:spacing w:after="80"/>
      </w:pPr>
      <w:r>
        <w:rPr>
          <w:rFonts w:ascii="Arial" w:hAnsi="Arial"/>
          <w:sz w:val="20"/>
        </w:rPr>
        <w:t xml:space="preserve">3.3.5 Пересчёт TCLK 19,44 МГц в 8,448/34,368 МГц; ACR/DCR, Holdover, Loop timing. Частоту любого входного порта выдавать в RX_CLK; ПЛИС/DPLL преобразует её в 19,44 МГц для TCLK. Джиттер/вандер — по G.823.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Проверка: Проверка режимов и переходов; пределы удержания — [уточнить].</w:t>
      </w:r>
    </w:p>
    <w:p>
      <w:pPr>
        <w:spacing w:after="80"/>
      </w:pPr>
      <w:r>
        <w:rPr>
          <w:rFonts w:ascii="Arial" w:hAnsi="Arial"/>
          <w:sz w:val="20"/>
        </w:rPr>
        <w:t xml:space="preserve">3.3.6 Контроль LOS, AIS, BPV/CV HDB3 и переполнения/опустошения буфера для каждого порта.</w:t>
      </w:r>
    </w:p>
    <w:p>
      <w:pPr>
        <w:spacing w:after="80"/>
      </w:pPr>
      <w:r>
        <w:rPr>
          <w:rFonts w:ascii="Arial" w:hAnsi="Arial"/>
          <w:sz w:val="20"/>
        </w:rPr>
        <w:t xml:space="preserve">3.3.7 Для каждого порта: Local Line, Payload и Packet Loopback; генератор/анализатор PRBS 2^23−1 для измерения BER.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Проверка: Демонстрация петель и PRBS; условия и критерий BER — [уточнить].</w:t>
      </w:r>
    </w:p>
    <w:p>
      <w:pPr>
        <w:spacing w:after="80"/>
      </w:pPr>
      <w:r>
        <w:rPr>
          <w:rFonts w:ascii="Arial" w:hAnsi="Arial"/>
          <w:sz w:val="20"/>
        </w:rPr>
        <w:t xml:space="preserve">3.3.8 Мощность субплаты ≤15 Вт, сборки ≤35 Вт.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Проверка: Измерение в рабочих режимах; режимы — [уточнить].</w:t>
      </w:r>
    </w:p>
    <w:p>
      <w:pPr>
        <w:pStyle w:val="Heading2"/>
        <w:spacing w:after="80"/>
      </w:pPr>
      <w:r>
        <w:rPr>
          <w:rFonts w:ascii="Arial" w:hAnsi="Arial"/>
          <w:sz w:val="20"/>
          <w:b/>
        </w:rPr>
        <w:t xml:space="preserve">3.4 Конструктивные требования</w:t>
      </w:r>
    </w:p>
    <w:p>
      <w:pPr>
        <w:spacing w:after="80"/>
      </w:pPr>
      <w:r>
        <w:rPr>
          <w:rFonts w:ascii="Arial" w:hAnsi="Arial"/>
          <w:sz w:val="20"/>
        </w:rPr>
        <w:t xml:space="preserve">3.4.1 Single Full-size AMC, 73,5 × 180,6 × 28,95 мм.</w:t>
      </w:r>
    </w:p>
    <w:p>
      <w:pPr>
        <w:spacing w:after="80"/>
      </w:pPr>
      <w:r>
        <w:rPr>
          <w:rFonts w:ascii="Arial" w:hAnsi="Arial"/>
          <w:sz w:val="20"/>
        </w:rPr>
        <w:t xml:space="preserve">3.4.2 Межплатное крепление на 4–6 металлических стойках М2,5.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Проверка: Измерение габаритов и осмотр крепления по РКД.</w:t>
      </w:r>
    </w:p>
    <w:p>
      <w:pPr>
        <w:pStyle w:val="Heading2"/>
        <w:spacing w:after="80"/>
      </w:pPr>
      <w:r>
        <w:rPr>
          <w:rFonts w:ascii="Arial" w:hAnsi="Arial"/>
          <w:sz w:val="20"/>
          <w:b/>
        </w:rPr>
        <w:t xml:space="preserve">3.5 Требования живучести и стойкости к внешним воздействиям</w:t>
      </w:r>
    </w:p>
    <w:p>
      <w:pPr>
        <w:spacing w:after="80"/>
      </w:pPr>
      <w:r>
        <w:rPr>
          <w:rFonts w:ascii="Arial" w:hAnsi="Arial"/>
          <w:sz w:val="20"/>
        </w:rPr>
        <w:t xml:space="preserve">3.5.1 ГОСТ РВ 20.39.304-98: группы 1.1, 1.3, 1.4.1, исполнение «О».</w:t>
      </w:r>
    </w:p>
    <w:p>
      <w:pPr>
        <w:spacing w:after="80"/>
      </w:pPr>
      <w:r>
        <w:rPr>
          <w:rFonts w:ascii="Arial" w:hAnsi="Arial"/>
          <w:sz w:val="20"/>
        </w:rPr>
        <w:t xml:space="preserve">3.5.2 Рабочая температура −10…+50 °C; предельная −40…+65 °C.</w:t>
      </w:r>
    </w:p>
    <w:p>
      <w:pPr>
        <w:spacing w:after="80"/>
      </w:pPr>
      <w:r>
        <w:rPr>
          <w:rFonts w:ascii="Arial" w:hAnsi="Arial"/>
          <w:sz w:val="20"/>
        </w:rPr>
        <w:t xml:space="preserve">3.5.3 Синусоидальная вибрация 5g, удары 15g. Радиопомехи — группа 1.1.1 ГОСТ В 25803-91.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Проверка: Профили, длительности и критерии испытаний — [уточнить].</w:t>
      </w:r>
    </w:p>
    <w:p>
      <w:pPr>
        <w:pStyle w:val="Heading2"/>
        <w:spacing w:after="80"/>
      </w:pPr>
      <w:r>
        <w:rPr>
          <w:rFonts w:ascii="Arial" w:hAnsi="Arial"/>
          <w:sz w:val="20"/>
          <w:b/>
        </w:rPr>
        <w:t xml:space="preserve">3.6 Требования надёжности</w:t>
      </w:r>
    </w:p>
    <w:p>
      <w:pPr>
        <w:spacing w:after="80"/>
      </w:pPr>
      <w:r>
        <w:rPr>
          <w:rFonts w:ascii="Arial" w:hAnsi="Arial"/>
          <w:sz w:val="20"/>
        </w:rPr>
        <w:t xml:space="preserve">3.6.1 MTBF — не менее 15 000 ч.</w:t>
      </w:r>
    </w:p>
    <w:p>
      <w:pPr>
        <w:spacing w:after="80"/>
      </w:pPr>
      <w:r>
        <w:rPr>
          <w:rFonts w:ascii="Arial" w:hAnsi="Arial"/>
          <w:sz w:val="20"/>
        </w:rPr>
        <w:t xml:space="preserve">3.6.2 Назначенный срок службы — не менее 5 лет.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Проверка: Метод расчёта и исходные условия — [уточнить].</w:t>
      </w:r>
    </w:p>
    <w:p>
      <w:pPr>
        <w:pStyle w:val="Heading1"/>
        <w:spacing w:after="80"/>
      </w:pPr>
      <w:r>
        <w:rPr>
          <w:rFonts w:ascii="Arial" w:hAnsi="Arial"/>
          <w:sz w:val="20"/>
          <w:b/>
        </w:rPr>
        <w:t xml:space="preserve">4 Технико-экономические требования</w:t>
      </w:r>
    </w:p>
    <w:p>
      <w:pPr>
        <w:spacing w:after="80"/>
      </w:pPr>
      <w:r>
        <w:rPr>
          <w:rFonts w:ascii="Arial" w:hAnsi="Arial"/>
          <w:sz w:val="20"/>
        </w:rPr>
        <w:t xml:space="preserve">4.1 Требования к стоимости ОКР, годовой потребности, цене изделия и иные технико-экономические требования не предъявляются.</w:t>
      </w:r>
    </w:p>
    <w:p>
      <w:pPr>
        <w:pStyle w:val="Heading1"/>
        <w:spacing w:after="80"/>
      </w:pPr>
      <w:r>
        <w:rPr>
          <w:rFonts w:ascii="Arial" w:hAnsi="Arial"/>
          <w:sz w:val="20"/>
          <w:b/>
        </w:rPr>
        <w:t xml:space="preserve">5 Требования к видам обеспечения</w:t>
      </w:r>
    </w:p>
    <w:p>
      <w:pPr>
        <w:pStyle w:val="Heading2"/>
        <w:spacing w:after="80"/>
      </w:pPr>
      <w:r>
        <w:rPr>
          <w:rFonts w:ascii="Arial" w:hAnsi="Arial"/>
          <w:sz w:val="20"/>
          <w:b/>
        </w:rPr>
        <w:t xml:space="preserve">5.1 Нормативное обеспечение</w:t>
      </w:r>
    </w:p>
    <w:p>
      <w:pPr>
        <w:spacing w:after="80"/>
      </w:pPr>
      <w:r>
        <w:rPr>
          <w:rFonts w:ascii="Arial" w:hAnsi="Arial"/>
          <w:sz w:val="20"/>
        </w:rPr>
        <w:t xml:space="preserve">5.1.1 Применять документы перечня в относящейся к изделию и испытаниям части.</w:t>
      </w:r>
    </w:p>
    <w:p>
      <w:pPr>
        <w:pStyle w:val="Heading2"/>
        <w:spacing w:after="80"/>
      </w:pPr>
      <w:r>
        <w:rPr>
          <w:rFonts w:ascii="Arial" w:hAnsi="Arial"/>
          <w:sz w:val="20"/>
          <w:b/>
        </w:rPr>
        <w:t xml:space="preserve">5.2 Метрологическое обеспечение</w:t>
      </w:r>
    </w:p>
    <w:p>
      <w:pPr>
        <w:spacing w:after="80"/>
      </w:pPr>
      <w:r>
        <w:rPr>
          <w:rFonts w:ascii="Arial" w:hAnsi="Arial"/>
          <w:sz w:val="20"/>
        </w:rPr>
        <w:t xml:space="preserve">5.2.1 Предусмотреть средства и методики измерения формы и амплитуды импульсов по G.703, возвратных потерь 75 Ом, джиттера по G.823 и BER; незаданные допуски и процедуры — [уточнить].</w:t>
      </w:r>
    </w:p>
    <w:p>
      <w:pPr>
        <w:pStyle w:val="Heading2"/>
        <w:spacing w:after="80"/>
      </w:pPr>
      <w:r>
        <w:rPr>
          <w:rFonts w:ascii="Arial" w:hAnsi="Arial"/>
          <w:sz w:val="20"/>
          <w:b/>
        </w:rPr>
        <w:t xml:space="preserve">5.3 Диагностическое обеспечение</w:t>
      </w:r>
    </w:p>
    <w:p>
      <w:pPr>
        <w:spacing w:after="80"/>
      </w:pPr>
      <w:r>
        <w:rPr>
          <w:rFonts w:ascii="Arial" w:hAnsi="Arial"/>
          <w:sz w:val="20"/>
        </w:rPr>
        <w:t xml:space="preserve">5.3.1 Регистрация LOS/AIS и BPV, формирование сообщений и отчётов для РМО.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Проверка: Форматы и состав полей — [уточнить].</w:t>
      </w:r>
    </w:p>
    <w:p>
      <w:pPr>
        <w:pStyle w:val="Heading2"/>
        <w:spacing w:after="80"/>
      </w:pPr>
      <w:r>
        <w:rPr>
          <w:rFonts w:ascii="Arial" w:hAnsi="Arial"/>
          <w:sz w:val="20"/>
          <w:b/>
        </w:rPr>
        <w:t xml:space="preserve">5.4 Программное обеспечение</w:t>
      </w:r>
    </w:p>
    <w:p>
      <w:pPr>
        <w:spacing w:after="80"/>
      </w:pPr>
      <w:r>
        <w:rPr>
          <w:rFonts w:ascii="Arial" w:hAnsi="Arial"/>
          <w:sz w:val="20"/>
        </w:rPr>
        <w:t xml:space="preserve">5.4.1 Bitstream функционального модуля для Flash базовой платы, драйверы Linux и MIB для РМО.</w:t>
      </w:r>
    </w:p>
    <w:p>
      <w:pPr>
        <w:spacing w:after="80"/>
      </w:pPr>
      <w:r>
        <w:rPr>
          <w:rFonts w:ascii="Arial" w:hAnsi="Arial"/>
          <w:sz w:val="20"/>
        </w:rPr>
        <w:t xml:space="preserve">5.4.2 Программные компоненты обеспечивают функции 3.3 и 8.1–8.2; версии, интерфейсы и состав MIB — [уточнить].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Проверка: Анализ документов и демонстрация загрузки/работы.</w:t>
      </w:r>
    </w:p>
    <w:p>
      <w:pPr>
        <w:pStyle w:val="Heading1"/>
        <w:spacing w:after="80"/>
      </w:pPr>
      <w:r>
        <w:rPr>
          <w:rFonts w:ascii="Arial" w:hAnsi="Arial"/>
          <w:sz w:val="20"/>
          <w:b/>
        </w:rPr>
        <w:t xml:space="preserve">6 Требования к сырью, материалам и комплектующим изделиям</w:t>
      </w:r>
    </w:p>
    <w:p>
      <w:pPr>
        <w:spacing w:after="80"/>
      </w:pPr>
      <w:r>
        <w:rPr>
          <w:rFonts w:ascii="Arial" w:hAnsi="Arial"/>
          <w:sz w:val="20"/>
        </w:rPr>
        <w:t xml:space="preserve">6.1 Приоритет отечественных материалов и комплектующих с приёмкой ОТК.</w:t>
      </w:r>
    </w:p>
    <w:p>
      <w:pPr>
        <w:spacing w:after="80"/>
      </w:pPr>
      <w:r>
        <w:rPr>
          <w:rFonts w:ascii="Arial" w:hAnsi="Arial"/>
          <w:sz w:val="20"/>
        </w:rPr>
        <w:t xml:space="preserve">6.2 При отсутствии аналогов разрешить импортную ЭКБ промышленного температурного диапазона.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Проверка: Анализ ведомости и документов поставки; критерии отсутствия аналога — [уточнить].</w:t>
      </w:r>
    </w:p>
    <w:p>
      <w:pPr>
        <w:pStyle w:val="Heading1"/>
        <w:spacing w:after="80"/>
      </w:pPr>
      <w:r>
        <w:rPr>
          <w:rFonts w:ascii="Arial" w:hAnsi="Arial"/>
          <w:sz w:val="20"/>
          <w:b/>
        </w:rPr>
        <w:t xml:space="preserve">7 Требования к консервации, упаковке и маркировке</w:t>
      </w:r>
    </w:p>
    <w:p>
      <w:pPr>
        <w:spacing w:after="80"/>
      </w:pPr>
      <w:r>
        <w:rPr>
          <w:rFonts w:ascii="Arial" w:hAnsi="Arial"/>
          <w:sz w:val="20"/>
        </w:rPr>
        <w:t xml:space="preserve">7.1 Предусмотреть децимальный и серийный номера, ревизию и маркировку E2-1, E2-2, E3-1.</w:t>
      </w:r>
    </w:p>
    <w:p>
      <w:pPr>
        <w:spacing w:after="80"/>
      </w:pPr>
      <w:r>
        <w:rPr>
          <w:rFonts w:ascii="Arial" w:hAnsi="Arial"/>
          <w:sz w:val="20"/>
        </w:rPr>
        <w:t xml:space="preserve">7.2 Индивидуальная тара с ESD-защитой.</w:t>
      </w:r>
    </w:p>
    <w:p>
      <w:pPr>
        <w:spacing w:after="80"/>
      </w:pPr>
      <w:r>
        <w:rPr>
          <w:rFonts w:ascii="Arial" w:hAnsi="Arial"/>
          <w:sz w:val="20"/>
        </w:rPr>
        <w:t xml:space="preserve">7.3 Хранение в заводской таре — не менее 1 года по ГОСТ 15150. Незаданные условия консервации — [уточнить].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Проверка: Осмотр маркировки/упаковки и анализ документации по хранению.</w:t>
      </w:r>
    </w:p>
    <w:p>
      <w:pPr>
        <w:pStyle w:val="Heading1"/>
        <w:spacing w:after="80"/>
      </w:pPr>
      <w:r>
        <w:rPr>
          <w:rFonts w:ascii="Arial" w:hAnsi="Arial"/>
          <w:sz w:val="20"/>
          <w:b/>
        </w:rPr>
        <w:t xml:space="preserve">8 Специальные требования</w:t>
      </w:r>
    </w:p>
    <w:p>
      <w:pPr>
        <w:spacing w:after="80"/>
      </w:pPr>
      <w:r>
        <w:rPr>
          <w:rFonts w:ascii="Arial" w:hAnsi="Arial"/>
          <w:sz w:val="20"/>
        </w:rPr>
        <w:t xml:space="preserve">8.1 Телеметрия РМО (C++/Qt): мнемосхема портов, LOS/AIS, BPV, SAToP/E2oP и источник тактирования.</w:t>
      </w:r>
    </w:p>
    <w:p>
      <w:pPr>
        <w:spacing w:after="80"/>
      </w:pPr>
      <w:r>
        <w:rPr>
          <w:rFonts w:ascii="Arial" w:hAnsi="Arial"/>
          <w:sz w:val="20"/>
        </w:rPr>
        <w:t xml:space="preserve">8.2 Команды: включение/отключение передатчиков, настройка джиттер-буфера, петли и PRBS.</w:t>
      </w:r>
    </w:p>
    <w:p>
      <w:pPr>
        <w:spacing w:after="80"/>
      </w:pPr>
      <w:r>
        <w:rPr>
          <w:rFonts w:ascii="Arial" w:hAnsi="Arial"/>
          <w:sz w:val="20"/>
          <w:i/>
        </w:rPr>
        <w:t xml:space="preserve">Проверка: Форматы команд и время реакции — [уточнить].</w:t>
      </w:r>
    </w:p>
    <w:p>
      <w:pPr>
        <w:spacing w:after="80"/>
      </w:pPr>
      <w:br w:type="page"/>
      <w:r>
        <w:rPr>
          <w:rFonts w:ascii="Arial" w:hAnsi="Arial"/>
          <w:sz w:val="20"/>
        </w:rPr>
        <w:t xml:space="preserve"/>
      </w:r>
    </w:p>
    <w:p>
      <w:pPr>
        <w:pStyle w:val="Heading1"/>
        <w:spacing w:after="80"/>
      </w:pPr>
      <w:r>
        <w:rPr>
          <w:rFonts w:ascii="Arial" w:hAnsi="Arial"/>
          <w:sz w:val="20"/>
          <w:b/>
        </w:rPr>
        <w:t xml:space="preserve">ПОДПИСИ РАЗРАБОТЧИКОВ И СОГЛАСУЮЩИХ ЛИЦ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D9EAF7"/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  <w:b/>
              </w:rPr>
              <w:t>Роль / организация</w:t>
            </w:r>
          </w:p>
        </w:tc>
        <w:tc>
          <w:tcPr>
            <w:shd w:fill="D9EAF7"/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  <w:b/>
              </w:rPr>
              <w:t>Должность</w:t>
            </w:r>
          </w:p>
        </w:tc>
        <w:tc>
          <w:tcPr>
            <w:shd w:fill="D9EAF7"/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  <w:b/>
              </w:rPr>
              <w:t>Ф. И. О.</w:t>
            </w:r>
          </w:p>
        </w:tc>
        <w:tc>
          <w:tcPr>
            <w:shd w:fill="D9EAF7"/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  <w:b/>
              </w:rPr>
              <w:t>Подпись</w:t>
            </w:r>
          </w:p>
        </w:tc>
        <w:tc>
          <w:tcPr>
            <w:shd w:fill="D9EAF7"/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  <w:b/>
              </w:rPr>
              <w:t>Дата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Разработчик ТЗ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Проверил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Головной исполнитель ОКР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</w:tr>
      <w:tr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Заказчик / НИО заказчика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[уточнить]</w:t>
            </w:r>
          </w:p>
        </w:tc>
      </w:tr>
    </w:tbl>
    <w:sectPr>
      <w:pgSz w:w="11906" w:h="16838"/>
      <w:pgMar w:top="1134" w:right="850" w:bottom="1134" w:left="1417"/>
      <w:headerReference w:type="default" r:id="rId2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t>Лист </w:t>
    </w:r>
    <w:r>
      <w:fldChar w:fldCharType="begin"/>
      <w:instrText>PAGE</w:instrText>
      <w:fldChar w:fldCharType="end"/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</w:style>
  <w:style w:type="paragraph" w:styleId="Heading1">
    <w:name w:val="Heading 1"/>
    <w:basedOn w:val="Normal"/>
    <w:pPr>
      <w:keepNext/>
      <w:spacing w:before="200" w:after="100"/>
    </w:pPr>
    <w:rPr>
      <w:b/>
      <w:sz w:val="28"/>
    </w:rPr>
  </w:style>
  <w:style w:type="paragraph" w:styleId="Heading2">
    <w:name w:val="Heading 2"/>
    <w:basedOn w:val="Normal"/>
    <w:pPr>
      <w:keepNext/>
      <w:spacing w:before="200" w:after="100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