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3200"/>
        <w:gridCol w:w="3200"/>
        <w:gridCol w:w="3200"/>
      </w:tblGrid>
      <w:tr>
        <w:trPr/>
        <w:tc>
          <w:tcPr>
            <w:tcW w:w="3200" w:type="dxa"/>
            <w:vAlign w:val="center"/>
          </w:tcPr>
          <w:p>
            <w:pPr>
              <w:jc w:val="center"/>
            </w:pPr>
            <w:r>
              <w:rPr/>
              <w:t xml:space="preserve">СОГЛАСОВАНО</w:t>
            </w:r>
          </w:p>
          <w:p>
            <w:pPr>
              <w:jc w:val="center"/>
            </w:pPr>
            <w:r>
              <w:rPr/>
              <w:t xml:space="preserve">Заказчик (НИО заказчика)</w:t>
            </w:r>
          </w:p>
          <w:p>
            <w:pPr>
              <w:jc w:val="center"/>
            </w:pPr>
            <w:r>
              <w:rPr/>
              <w:t xml:space="preserve">[уточнить]</w:t>
            </w:r>
          </w:p>
          <w:p>
            <w:pPr>
              <w:jc w:val="center"/>
            </w:pPr>
            <w:r>
              <w:rPr/>
              <w:t xml:space="preserve">__________ / [уточнить] /</w:t>
            </w:r>
          </w:p>
          <w:p>
            <w:pPr>
              <w:jc w:val="center"/>
            </w:pPr>
            <w:r>
              <w:rPr/>
              <w:t xml:space="preserve">«___» __________ 20__ г.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/>
              <w:t xml:space="preserve">СОГЛАСОВАНО</w:t>
            </w:r>
          </w:p>
          <w:p>
            <w:pPr>
              <w:jc w:val="center"/>
            </w:pPr>
            <w:r>
              <w:rPr/>
              <w:t xml:space="preserve">Исполнитель составной части ОКР</w:t>
            </w:r>
          </w:p>
          <w:p>
            <w:pPr>
              <w:jc w:val="center"/>
            </w:pPr>
            <w:r>
              <w:rPr/>
              <w:t xml:space="preserve">ООО «тушканчик»</w:t>
            </w:r>
          </w:p>
          <w:p>
            <w:pPr>
              <w:jc w:val="center"/>
            </w:pPr>
            <w:r>
              <w:rPr/>
              <w:t xml:space="preserve">__________ / [уточнить] /</w:t>
            </w:r>
          </w:p>
          <w:p>
            <w:pPr>
              <w:jc w:val="center"/>
            </w:pPr>
            <w:r>
              <w:rPr/>
              <w:t xml:space="preserve">«___» __________ 20__ г.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/>
              <w:t xml:space="preserve">УТВЕРЖДАЮ</w:t>
            </w:r>
          </w:p>
          <w:p>
            <w:pPr>
              <w:jc w:val="center"/>
            </w:pPr>
            <w:r>
              <w:rPr/>
              <w:t xml:space="preserve">Головной исполнитель ОКР</w:t>
            </w:r>
          </w:p>
          <w:p>
            <w:pPr>
              <w:jc w:val="center"/>
            </w:pPr>
            <w:r>
              <w:rPr/>
              <w:t xml:space="preserve">[уточнить]</w:t>
            </w:r>
          </w:p>
          <w:p>
            <w:pPr>
              <w:jc w:val="center"/>
            </w:pPr>
            <w:r>
              <w:rPr/>
              <w:t xml:space="preserve">__________ / [уточнить] /</w:t>
            </w:r>
          </w:p>
          <w:p>
            <w:pPr>
              <w:jc w:val="center"/>
            </w:pPr>
            <w:r>
              <w:rPr/>
              <w:t xml:space="preserve">«___» __________ 20__ г.</w:t>
            </w:r>
          </w:p>
        </w:tc>
      </w:tr>
    </w:tbl>
    <w:p>
      <w:pPr>
        <w:jc w:val="center"/>
      </w:pPr>
      <w:r>
        <w:rPr>
          <w:b/>
        </w:rPr>
        <w:t xml:space="preserve"/>
      </w:r>
      <w:r>
        <w:br/>
      </w:r>
      <w:r>
        <w:rPr>
          <w:b/>
        </w:rPr>
        <w:t xml:space="preserve"/>
      </w:r>
      <w:r>
        <w:br/>
      </w:r>
      <w:r>
        <w:rPr>
          <w:b/>
        </w:rPr>
        <w:t xml:space="preserve"/>
      </w:r>
      <w:r>
        <w:br/>
      </w:r>
      <w:r>
        <w:rPr>
          <w:b/>
        </w:rPr>
        <w:t xml:space="preserve">ТЕХНИЧЕСКОЕ ЗАДАНИЕ</w:t>
      </w:r>
    </w:p>
    <w:p>
      <w:pPr>
        <w:jc w:val="center"/>
      </w:pP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</w:pPr>
      <w:r>
        <w:rPr>
          <w:b/>
        </w:rPr>
        <w:t xml:space="preserve">«Развитие-ТСА»</w:t>
      </w:r>
    </w:p>
    <w:p>
      <w:pPr>
        <w:jc w:val="center"/>
      </w:pPr>
      <w:r>
        <w:rPr/>
        <w:t xml:space="preserve">Разработка сменной интерфейсной субплаты E2/E3</w:t>
      </w:r>
      <w:r>
        <w:br/>
      </w:r>
      <w:r>
        <w:rPr/>
        <w:t xml:space="preserve">и функционального модуля PDH для универсального базового модуля AMC семейства ДММП</w:t>
      </w:r>
    </w:p>
    <w:p>
      <w:pPr>
        <w:jc w:val="center"/>
      </w:pPr>
      <w:r>
        <w:rPr/>
        <w:t xml:space="preserve">Обозначение составной части изделия: [уточнить]</w:t>
      </w:r>
      <w:r>
        <w:br/>
      </w:r>
      <w:r>
        <w:rPr/>
        <w:t xml:space="preserve">Регистрационный номер: [уточнить]</w:t>
      </w:r>
    </w:p>
    <w:p>
      <w:pPr>
        <w:jc w:val="right"/>
      </w:pPr>
      <w:r>
        <w:rPr/>
        <w:t xml:space="preserve"/>
      </w:r>
      <w:r>
        <w:br/>
      </w:r>
      <w:r>
        <w:rPr/>
        <w:t xml:space="preserve"/>
      </w:r>
      <w:r>
        <w:br/>
      </w:r>
      <w:r>
        <w:rPr/>
        <w:t xml:space="preserve">Действует с дополнением __________</w:t>
      </w:r>
    </w:p>
    <w:p>
      <w:pPr>
        <w:jc w:val="center"/>
      </w:pPr>
      <w:r>
        <w:rPr/>
        <w:t xml:space="preserve"/>
      </w:r>
      <w:r>
        <w:br/>
      </w:r>
      <w:r>
        <w:rPr/>
        <w:t xml:space="preserve"/>
      </w:r>
      <w:r>
        <w:br/>
      </w:r>
      <w:r>
        <w:rPr/>
        <w:t xml:space="preserve">Место составления: [уточнить]</w:t>
      </w:r>
      <w:r>
        <w:br/>
      </w:r>
      <w:r>
        <w:rPr/>
        <w:t xml:space="preserve">Год: [уточнить]</w:t>
      </w:r>
    </w:p>
    <w:p>
      <w:r>
        <w:br w:type="page"/>
      </w:r>
    </w:p>
    <w:p>
      <w:pPr>
        <w:pStyle w:val="Heading1"/>
        <w:keepNext/>
      </w:pPr>
      <w:r>
        <w:rPr/>
        <w:t xml:space="preserve">Лист согласования</w:t>
      </w:r>
    </w:p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700"/>
        <w:gridCol w:w="1800"/>
        <w:gridCol w:w="1300"/>
        <w:gridCol w:w="2100"/>
        <w:gridCol w:w="1400"/>
      </w:tblGrid>
      <w:tr>
        <w:trPr>
          <w:tblHeader/>
        </w:trPr>
        <w:tc>
          <w:tcPr>
            <w:tcW w:w="2700" w:type="dxa"/>
            <w:shd w:fill="D9E2F3"/>
            <w:vAlign w:val="center"/>
          </w:tcPr>
          <w:p>
            <w:pPr/>
            <w:r>
              <w:rPr>
                <w:b/>
              </w:rPr>
              <w:t xml:space="preserve">Сторона / организация</w:t>
            </w:r>
          </w:p>
        </w:tc>
        <w:tc>
          <w:tcPr>
            <w:tcW w:w="18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Должность</w:t>
            </w:r>
          </w:p>
        </w:tc>
        <w:tc>
          <w:tcPr>
            <w:tcW w:w="1300" w:type="dxa"/>
            <w:shd w:fill="D9E2F3"/>
            <w:vAlign w:val="center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2100" w:type="dxa"/>
            <w:shd w:fill="D9E2F3"/>
            <w:vAlign w:val="center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14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Головной исполнитель ОКР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Заказчик (НИО заказчика)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Исполнитель составной части ОКР — ООО «тушканчик»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Другие согласующие организации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</w:tbl>
    <w:p>
      <w:pPr/>
      <w:r>
        <w:rPr>
          <w:i/>
        </w:rPr>
        <w:t xml:space="preserve">Примечание — Состав согласующих организаций и должностных лиц подлежит уточнению головным исполнителем ОКР с учетом порядка согласования ТЗ на составную часть ОКР.</w:t>
      </w:r>
    </w:p>
    <w:p>
      <w:r>
        <w:br w:type="page"/>
      </w:r>
    </w:p>
    <w:p>
      <w:pPr>
        <w:pStyle w:val="Heading1"/>
        <w:keepNext/>
      </w:pPr>
      <w:r>
        <w:rPr/>
        <w:t xml:space="preserve">Перечень обозначений и сокращений</w:t>
      </w:r>
    </w:p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800"/>
        <w:gridCol w:w="7800"/>
      </w:tblGrid>
      <w:tr>
        <w:trPr>
          <w:tblHeader/>
        </w:trPr>
        <w:tc>
          <w:tcPr>
            <w:tcW w:w="1800" w:type="dxa"/>
            <w:shd w:fill="D9E2F3"/>
            <w:vAlign w:val="center"/>
          </w:tcPr>
          <w:p>
            <w:pPr/>
            <w:r>
              <w:rPr>
                <w:b/>
              </w:rPr>
              <w:t xml:space="preserve">Обозначение</w:t>
            </w:r>
          </w:p>
        </w:tc>
        <w:tc>
          <w:tcPr>
            <w:tcW w:w="7800" w:type="dxa"/>
            <w:shd w:fill="D9E2F3"/>
            <w:vAlign w:val="center"/>
          </w:tcPr>
          <w:p>
            <w:pPr/>
            <w:r>
              <w:rPr>
                <w:b/>
              </w:rPr>
              <w:t xml:space="preserve">Значение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AMC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сменный модуль, соответствующий PICMG AMC.0 R2.0;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ПЛИС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программируемая логическая интегральная схема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B2B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межплатное соединение субплаты с базовой платой;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Board ID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идентификатор субплаты, хранимый в EEPROM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MMC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средство управления базовой платы; официальная расшифровка и состав функций в исходных данных не заданы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РМО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средство отображения телеметрии и выдачи команд;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ОКР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опытно-конструкторская работа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РКД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рабочая конструкторская документация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ПМИ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документ по проведению испытаний;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PDH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функциональный модуль для трактов E2 и E3;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E2oP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режим пакетной передачи полного потока E2 на архитектуре SAToP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SAToP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режим пакетной передачи полного потока E3 по RFC 4553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LIU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узел линейного интерфейса; официальная расшифровка обозначения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TCLK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тактирующий сигнал 19,44 МГц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RX_CLK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выход частоты выбранного входного порта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ACR, DCR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режимы восстановления тактовой частоты; официальные расшифровки в исходных данных не заданы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Holdover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режим удержания частоты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Loop timing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режим петлевой синхронизации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LOS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диагностический признак потери сигнала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AIS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аварийный сигнал индикации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BPV/CV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контролируемые нарушения HDB3; официальные расшифровки в исходных данных не заданы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PRBS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псевдослучайная последовательность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BER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показатель ошибок передачи; официальная расшифровка в исходных данных не задана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QoS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механизм приоритизации трафика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ESD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защита от электростатического разряда</w:t>
            </w:r>
          </w:p>
        </w:tc>
      </w:tr>
      <w:tr>
        <w:trPr/>
        <w:tc>
          <w:tcPr>
            <w:tcW w:w="1800" w:type="dxa"/>
            <w:vAlign w:val="center"/>
          </w:tcPr>
          <w:p>
            <w:pPr/>
            <w:r>
              <w:rPr/>
              <w:t xml:space="preserve">ОТК</w:t>
            </w:r>
          </w:p>
        </w:tc>
        <w:tc>
          <w:tcPr>
            <w:tcW w:w="7800" w:type="dxa"/>
            <w:vAlign w:val="center"/>
          </w:tcPr>
          <w:p>
            <w:pPr/>
            <w:r>
              <w:rPr/>
              <w:t xml:space="preserve">отдел технического контроля</w:t>
            </w:r>
          </w:p>
        </w:tc>
      </w:tr>
    </w:tbl>
    <w:p>
      <w:pPr>
        <w:pStyle w:val="Heading1"/>
        <w:keepNext/>
      </w:pPr>
      <w:r>
        <w:rPr/>
        <w:t xml:space="preserve">Перечень применимых нормативных и справочных документов</w:t>
      </w:r>
    </w:p>
    <w:p>
      <w:pPr/>
      <w:r>
        <w:rPr/>
        <w:t xml:space="preserve">1. ГОСТ 15.016—2016</w:t>
      </w:r>
    </w:p>
    <w:p>
      <w:pPr/>
      <w:r>
        <w:rPr/>
        <w:t xml:space="preserve">2. ITU-T G.703</w:t>
      </w:r>
    </w:p>
    <w:p>
      <w:pPr/>
      <w:r>
        <w:rPr/>
        <w:t xml:space="preserve">3. ITU-T G.704</w:t>
      </w:r>
    </w:p>
    <w:p>
      <w:pPr/>
      <w:r>
        <w:rPr/>
        <w:t xml:space="preserve">4. ITU-T G.751</w:t>
      </w:r>
    </w:p>
    <w:p>
      <w:pPr/>
      <w:r>
        <w:rPr/>
        <w:t xml:space="preserve">5. ITU-T G.823</w:t>
      </w:r>
    </w:p>
    <w:p>
      <w:pPr/>
      <w:r>
        <w:rPr/>
        <w:t xml:space="preserve">6. RFC 4553</w:t>
      </w:r>
    </w:p>
    <w:p>
      <w:pPr/>
      <w:r>
        <w:rPr/>
        <w:t xml:space="preserve">7. PICMG AMC.0 R2.0</w:t>
      </w:r>
    </w:p>
    <w:p>
      <w:pPr/>
      <w:r>
        <w:rPr/>
        <w:t xml:space="preserve">8. ГОСТ РВ 20.39.304-98</w:t>
      </w:r>
    </w:p>
    <w:p>
      <w:pPr/>
      <w:r>
        <w:rPr/>
        <w:t xml:space="preserve">9. ГОСТ В 25803-91</w:t>
      </w:r>
    </w:p>
    <w:p>
      <w:pPr/>
      <w:r>
        <w:rPr/>
        <w:t xml:space="preserve">10. ГОСТ 2.114-2016</w:t>
      </w:r>
    </w:p>
    <w:p>
      <w:pPr/>
      <w:r>
        <w:rPr/>
        <w:t xml:space="preserve">11. ГОСТ РВ 15.201-2003</w:t>
      </w:r>
    </w:p>
    <w:p>
      <w:pPr/>
      <w:r>
        <w:rPr/>
        <w:t xml:space="preserve">12. ГОСТ 15150</w:t>
      </w:r>
    </w:p>
    <w:p>
      <w:pPr/>
      <w:r>
        <w:rPr>
          <w:i/>
        </w:rPr>
        <w:t xml:space="preserve">Примечание — Наименования документов, кроме ГОСТ 15.016—2016, и сведения об их редакциях в исходных данных отсутствуют; их точные наименования, действующий статус и применимость редакций подлежат уточнению до утверждения ТЗ. Обозначения сохранены в виде, заданном исходными требованиями.</w:t>
      </w:r>
    </w:p>
    <w:p>
      <w:pPr>
        <w:pStyle w:val="Heading1"/>
        <w:keepNext/>
      </w:pPr>
      <w:r>
        <w:rPr/>
        <w:t xml:space="preserve">1 Наименование, шифр, основание, исполнители и сроки ОКР</w:t>
      </w:r>
    </w:p>
    <w:p>
      <w:pPr/>
      <w:r>
        <w:rPr/>
        <w:t xml:space="preserve">1.1 Наименование составной части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/>
      <w:r>
        <w:rPr/>
        <w:t xml:space="preserve">1.2 Шифр ОКР — «Развитие-ТСА». Дополнительный шифр составной части ОКР — [уточнить].</w:t>
      </w:r>
    </w:p>
    <w:p>
      <w:pPr/>
      <w:r>
        <w:rPr/>
        <w:t xml:space="preserve">1.3 Основание для выполнения работы — приказ об открытии инициативной ОКР № [уточнить] от [уточнить].</w:t>
      </w:r>
    </w:p>
    <w:p>
      <w:pPr/>
      <w:r>
        <w:rPr/>
        <w:t xml:space="preserve">1.4 Исполнитель составной части ОКР — ООО «тушканчик». Головной исполнитель ОКР — [уточнить]. Заказчик — [уточнить].</w:t>
      </w:r>
    </w:p>
    <w:p>
      <w:pPr/>
      <w:r>
        <w:rPr/>
        <w:t xml:space="preserve">1.5 Сроки выполнения составной части ОКР должны быть увязаны с утвержденным планом-графиком разработки РКД и программной документации, изготовления образцов и проведения испытаний. Календарные даты — [уточнить].</w:t>
      </w:r>
    </w:p>
    <w:p>
      <w:pPr>
        <w:pStyle w:val="Heading1"/>
        <w:keepNext/>
      </w:pPr>
      <w:r>
        <w:rPr/>
        <w:t xml:space="preserve">2 Цель выполнения, наименование, назначение и область применения изделия</w:t>
      </w:r>
    </w:p>
    <w:p>
      <w:pPr/>
      <w:r>
        <w:rPr/>
        <w:t xml:space="preserve">2.1 Цель работы — разработать сменную интерфейсную субплату E2/E3 и функциональный модуль PDH для подключения к платформе ДММП по коаксиальным линиям двух независимых потоков E2 и одного потока E3 с обеспечением TDM-over-Packet, джиттер-буферизации и синхронизации.</w:t>
      </w:r>
    </w:p>
    <w:p>
      <w:pPr/>
      <w:r>
        <w:rPr/>
        <w:t xml:space="preserve">2.2 Изделие предназначено для работы с PDH-трактами 8 и 34 Мбит/с в системах энергетики, железнодорожного транспорта и магистральных операторов.</w:t>
      </w:r>
    </w:p>
    <w:p>
      <w:pPr/>
      <w:r>
        <w:rPr/>
        <w:t xml:space="preserve">2.3 Аппаратная часть должна включать субплату, линейные интерфейсы, средства защиты, трансиверы и EEPROM Board ID.</w:t>
      </w:r>
    </w:p>
    <w:p>
      <w:pPr/>
      <w:r>
        <w:rPr/>
        <w:t xml:space="preserve">2.4 Логическая часть должна быть выполнена как функциональный модуль ПЛИС базовой платы и автоматически активироваться по Board ID субплаты.</w:t>
      </w:r>
    </w:p>
    <w:p>
      <w:pPr/>
      <w:r>
        <w:rPr/>
        <w:t xml:space="preserve">2.5 AMC с установленной субплатой должен устанавливаться на Carrier платформы ДММП.</w:t>
      </w:r>
    </w:p>
    <w:p>
      <w:pPr/>
      <w:r>
        <w:rPr>
          <w:i/>
        </w:rPr>
        <w:t xml:space="preserve">Примечание — Обозначение изделия и обозначение Carrier платформы ДММП не заданы: [уточнить].</w:t>
      </w:r>
    </w:p>
    <w:p>
      <w:pPr>
        <w:pStyle w:val="Heading1"/>
        <w:keepNext/>
      </w:pPr>
      <w:r>
        <w:rPr/>
        <w:t xml:space="preserve">3 Технические требования к изделию</w:t>
      </w:r>
    </w:p>
    <w:p>
      <w:pPr>
        <w:pStyle w:val="Heading2"/>
        <w:keepNext/>
      </w:pPr>
      <w:r>
        <w:rPr/>
        <w:t xml:space="preserve">3.1 Состав изделия</w:t>
      </w:r>
    </w:p>
    <w:p>
      <w:pPr/>
      <w:r>
        <w:rPr/>
        <w:t xml:space="preserve">3.1.1 В состав разрабатываемого изделия должны входить: сменная интерфейсная субплата E2/E3; функциональный модуль PDH для ПЛИС базовой платы; bitstream для Flash базовой платы; драйверы Linux; MIB для РМО; три экранированных кабельных адаптера согласно 3.2.5.</w:t>
      </w:r>
    </w:p>
    <w:p>
      <w:pPr/>
      <w:r>
        <w:rPr/>
        <w:t xml:space="preserve">3.1.2 РКД должна включать документацию на кабельные адаптеры согласно 3.2.5.</w:t>
      </w:r>
    </w:p>
    <w:p>
      <w:pPr/>
      <w:r>
        <w:rPr>
          <w:i/>
        </w:rPr>
        <w:t xml:space="preserve">Примечание — Состав и комплектность РКД и программной документации, кроме прямо указанных позиций, не заданы: [уточнить].</w:t>
      </w:r>
    </w:p>
    <w:p>
      <w:pPr>
        <w:pStyle w:val="Heading2"/>
        <w:keepNext/>
      </w:pPr>
      <w:r>
        <w:rPr/>
        <w:t xml:space="preserve">3.2 Архитектура, разъемы и кабели</w:t>
      </w:r>
    </w:p>
    <w:p>
      <w:pPr/>
      <w:r>
        <w:rPr/>
        <w:t xml:space="preserve">3.2.1 Субплата должна подключаться к базовой плате через B2B.</w:t>
      </w:r>
    </w:p>
    <w:p>
      <w:pPr/>
      <w:r>
        <w:rPr/>
        <w:t xml:space="preserve">3.2.2 На субплате должны быть установлены три экранированных вибростойких разъема HARTING PushPull 09452812560 с замковой фиксацией, ВЧ-трансформаторы, LIU, EEPROM с Board ID 0x03 и светодиоды.</w:t>
      </w:r>
    </w:p>
    <w:p>
      <w:pPr/>
      <w:r>
        <w:rPr/>
        <w:t xml:space="preserve">3.2.3 Базовая плата должна предоставлять субплате напряжения +12 В и +3,3 В, MMC и тактирование, а также автоматически загружать bitstream PDH из Flash при обнаружении Board ID 0x03.</w:t>
      </w:r>
    </w:p>
    <w:p>
      <w:pPr/>
      <w:r>
        <w:rPr/>
        <w:t xml:space="preserve">3.2.4 Разъемы E2-1, E2-2 и E3-1 должны каждый обслуживать отдельные передающую TX и приемную RX коаксиальные цепи с волновым сопротивлением 75 Ом.</w:t>
      </w:r>
    </w:p>
    <w:p>
      <w:pPr/>
      <w:r>
        <w:rPr/>
        <w:t xml:space="preserve">3.2.5 В комплект изделия и РКД должны входить экранированные адаптеры HARTING PushPull на две вилки BNC 75 Ом / DIN 1.0/2.3 с маркировкой TX и RX. Применение BNC 50 Ом запрещено по импедансу и габаритам.</w:t>
      </w:r>
    </w:p>
    <w:p>
      <w:pPr/>
      <w:r>
        <w:rPr>
          <w:i/>
        </w:rPr>
        <w:t xml:space="preserve">Примечание — Знак «/» между BNC 75 Ом и DIN 1.0/2.3 сохранен по исходным требованиям; требуется уточнить, являются ли исполнения альтернативными или оба исполнения входят в комплект.</w:t>
      </w:r>
    </w:p>
    <w:p>
      <w:pPr/>
      <w:r>
        <w:rPr>
          <w:i/>
        </w:rPr>
        <w:t xml:space="preserve">Проверка требований 3.2.1–3.2.5 — осмотр состава, маркировки и РКД; анализ схемы соединений; демонстрация распознавания Board ID 0x03 и автоматической загрузки bitstream PDH. Точный порядок проверки, контрольные точки и критерии завершения загрузки — [уточнить].</w:t>
      </w:r>
    </w:p>
    <w:p>
      <w:pPr>
        <w:pStyle w:val="Heading2"/>
        <w:keepNext/>
      </w:pPr>
      <w:r>
        <w:rPr/>
        <w:t xml:space="preserve">3.3 Электрические параметры и линейные функции</w:t>
      </w:r>
    </w:p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600"/>
        <w:gridCol w:w="3500"/>
        <w:gridCol w:w="3500"/>
      </w:tblGrid>
      <w:tr>
        <w:trPr>
          <w:tblHeader/>
        </w:trPr>
        <w:tc>
          <w:tcPr>
            <w:tcW w:w="2600" w:type="dxa"/>
            <w:shd w:fill="D9E2F3"/>
            <w:vAlign w:val="center"/>
          </w:tcPr>
          <w:p>
            <w:pPr/>
            <w:r>
              <w:rPr>
                <w:b/>
              </w:rPr>
              <w:t xml:space="preserve">Параметр</w:t>
            </w:r>
          </w:p>
        </w:tc>
        <w:tc>
          <w:tcPr>
            <w:tcW w:w="3500" w:type="dxa"/>
            <w:shd w:fill="D9E2F3"/>
            <w:vAlign w:val="center"/>
          </w:tcPr>
          <w:p>
            <w:pPr/>
            <w:r>
              <w:rPr>
                <w:b/>
              </w:rPr>
              <w:t xml:space="preserve">E2 (два порта)</w:t>
            </w:r>
          </w:p>
        </w:tc>
        <w:tc>
          <w:tcPr>
            <w:tcW w:w="3500" w:type="dxa"/>
            <w:shd w:fill="D9E2F3"/>
            <w:vAlign w:val="center"/>
          </w:tcPr>
          <w:p>
            <w:pPr/>
            <w:r>
              <w:rPr>
                <w:b/>
              </w:rPr>
              <w:t xml:space="preserve">E3 (один порт)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Скорость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8448 кбит/с (8,448 Мбит/с) ±30 ppm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34 368 кбит/с (34,368 Мбит/с) ±20 ppm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Код и сопротивление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HDB3; 75 Ом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HDB3; 75 Ом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Пиковое напряжение / длительность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2,37 В / 59 нс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1,0 В / 14,55 нс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Возвратные потери входа/выхода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не менее 18 дБ в диапазоне 422–8448 кГц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не менее 18 дБ в диапазоне 1720–34 368 кГц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Допустимое затухание кабеля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до 6 дБ на частоте 4224 кГц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до 12 дБ на частоте 17 184 кГц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Структура потока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ITU-T G.704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ITU-T G.751</w:t>
            </w:r>
          </w:p>
        </w:tc>
      </w:tr>
      <w:tr>
        <w:trPr/>
        <w:tc>
          <w:tcPr>
            <w:tcW w:w="2600" w:type="dxa"/>
            <w:vAlign w:val="center"/>
          </w:tcPr>
          <w:p>
            <w:pPr/>
            <w:r>
              <w:rPr/>
              <w:t xml:space="preserve">Электрические параметры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ITU-T G.703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ITU-T G.703</w:t>
            </w:r>
          </w:p>
        </w:tc>
      </w:tr>
    </w:tbl>
    <w:p>
      <w:pPr/>
      <w:r>
        <w:rPr/>
        <w:t xml:space="preserve">3.3.1 Каждый порт должен иметь трансформаторную гальваническую развязку и импульсную защиту.</w:t>
      </w:r>
    </w:p>
    <w:p>
      <w:pPr/>
      <w:r>
        <w:rPr>
          <w:i/>
        </w:rPr>
        <w:t xml:space="preserve">Проверка — измерение скорости, формы, пикового напряжения и длительности импульсов, возвратных потерь и работы при заданном затухании кабеля; анализ соответствия структуры потоков. Пределы допускаемой погрешности измерений для граничных значений, состав испытательного оборудования, условия и точки измерения — [уточнить].</w:t>
      </w:r>
    </w:p>
    <w:p>
      <w:pPr>
        <w:pStyle w:val="Heading2"/>
        <w:keepNext/>
      </w:pPr>
      <w:r>
        <w:rPr/>
        <w:t xml:space="preserve">3.4 Пакетная передача и аварийное поведение</w:t>
      </w:r>
    </w:p>
    <w:p>
      <w:pPr/>
      <w:r>
        <w:rPr/>
        <w:t xml:space="preserve">3.4.1 Для E3 должна обеспечиваться передача SAToP по RFC 4553: полный поток с управляющим словом и контролем последовательности.</w:t>
      </w:r>
    </w:p>
    <w:p>
      <w:pPr/>
      <w:r>
        <w:rPr/>
        <w:t xml:space="preserve">3.4.2 Для E2 должна обеспечиваться передача E2oP на архитектуре SAToP: полный поток с минимальной фиксированной задержкой.</w:t>
      </w:r>
    </w:p>
    <w:p>
      <w:pPr/>
      <w:r>
        <w:rPr/>
        <w:t xml:space="preserve">3.4.3 Пакетная передача должна выполняться через Fabric 10GbE с QoS Strict Priority.</w:t>
      </w:r>
    </w:p>
    <w:p>
      <w:pPr/>
      <w:r>
        <w:rPr/>
        <w:t xml:space="preserve">3.4.4 Для каждого сервиса должен быть предусмотрен настраиваемый джиттер-буфер в диапазоне от 1 до 64 мс включительно.</w:t>
      </w:r>
    </w:p>
    <w:p>
      <w:pPr/>
      <w:r>
        <w:rPr/>
        <w:t xml:space="preserve">3.4.5 При потере пакетов или аварии сети на соответствующем выходе должен непрерывно формироваться AIS.</w:t>
      </w:r>
    </w:p>
    <w:p>
      <w:pPr/>
      <w:r>
        <w:rPr>
          <w:i/>
        </w:rPr>
        <w:t xml:space="preserve">Проверка — демонстрация передачи полного потока E2/E3, наличия управляющего слова и контроля последовательности для E3, работы Strict Priority, установки граничных значений джиттер-буфера 1 и 64 мс, а также непрерывного AIS при потере пакетов и аварии сети. Количественное значение «минимальной фиксированной задержки», профиль трафика, определение аварии сети и порог потери пакетов — [уточнить].</w:t>
      </w:r>
    </w:p>
    <w:p>
      <w:pPr>
        <w:pStyle w:val="Heading2"/>
        <w:keepNext/>
      </w:pPr>
      <w:r>
        <w:rPr/>
        <w:t xml:space="preserve">3.5 Синхронизация</w:t>
      </w:r>
    </w:p>
    <w:p>
      <w:pPr/>
      <w:r>
        <w:rPr/>
        <w:t xml:space="preserve">3.5.1 Должен обеспечиваться пересчет TCLK 19,44 МГц в частоты 8,448 МГц и 34,368 МГц.</w:t>
      </w:r>
    </w:p>
    <w:p>
      <w:pPr/>
      <w:r>
        <w:rPr/>
        <w:t xml:space="preserve">3.5.2 Должны поддерживаться ACR, DCR, Holdover и Loop timing как отдельные режимы синхронизации.</w:t>
      </w:r>
    </w:p>
    <w:p>
      <w:pPr/>
      <w:r>
        <w:rPr/>
        <w:t xml:space="preserve">3.5.3 Частота любого выбранного входного порта должна выдаваться в RX_CLK; ПЛИС/DPLL базовой платы должна преобразовывать RX_CLK в 19,44 МГц для TCLK.</w:t>
      </w:r>
    </w:p>
    <w:p>
      <w:pPr/>
      <w:r>
        <w:rPr/>
        <w:t xml:space="preserve">3.5.4 Джиттер и вандер должны соответствовать ITU-T G.823.</w:t>
      </w:r>
    </w:p>
    <w:p>
      <w:pPr/>
      <w:r>
        <w:rPr>
          <w:i/>
        </w:rPr>
        <w:t xml:space="preserve">Проверка — измерение выходных частот при TCLK 19,44 МГц; последовательная демонстрация ACR, DCR, Holdover и Loop timing; выбор каждого входного порта источником RX_CLK; измерение джиттера и вандера. Правила переключения источников, условия входа/выхода Holdover, допустимое время переключения и применимые маски/пределы ITU-T G.823 — [уточнить].</w:t>
      </w:r>
    </w:p>
    <w:p>
      <w:pPr>
        <w:pStyle w:val="Heading2"/>
        <w:keepNext/>
      </w:pPr>
      <w:r>
        <w:rPr/>
        <w:t xml:space="preserve">3.6 Диагностика и контроль</w:t>
      </w:r>
    </w:p>
    <w:p>
      <w:pPr/>
      <w:r>
        <w:rPr/>
        <w:t xml:space="preserve">3.6.1 Для каждого порта должны контролироваться LOS, AIS, BPV/CV HDB3, переполнение и опустошение джиттер-буфера.</w:t>
      </w:r>
    </w:p>
    <w:p>
      <w:pPr/>
      <w:r>
        <w:rPr/>
        <w:t xml:space="preserve">3.6.2 Для каждого порта должны поддерживаться Local Line Loopback, Payload Loopback и Packet Loopback.</w:t>
      </w:r>
    </w:p>
    <w:p>
      <w:pPr/>
      <w:r>
        <w:rPr/>
        <w:t xml:space="preserve">3.6.3 Для каждого порта должны быть предусмотрены генератор и анализатор PRBS 2^23−1 для измерения BER.</w:t>
      </w:r>
    </w:p>
    <w:p>
      <w:pPr/>
      <w:r>
        <w:rPr>
          <w:i/>
        </w:rPr>
        <w:t xml:space="preserve">Проверка — поочередное внесение соответствующего диагностического события и наблюдение его регистрации; демонстрация каждой петли на каждом порту; генерация и анализ PRBS 2^23−1. Пороговые значения BPV/CV, правила подсчета BER и длительность проверки — [уточнить].</w:t>
      </w:r>
    </w:p>
    <w:p>
      <w:pPr>
        <w:pStyle w:val="Heading2"/>
        <w:keepNext/>
      </w:pPr>
      <w:r>
        <w:rPr/>
        <w:t xml:space="preserve">3.7 Конструктивные требования и энергопотребление</w:t>
      </w:r>
    </w:p>
    <w:p>
      <w:pPr/>
      <w:r>
        <w:rPr/>
        <w:t xml:space="preserve">3.7.1 Конструкция сборки должна соответствовать Single Full-size AMC.0 и иметь габаритные размеры 73,5 × 180,6 × 28,95 мм.</w:t>
      </w:r>
    </w:p>
    <w:p>
      <w:pPr/>
      <w:r>
        <w:rPr/>
        <w:t xml:space="preserve">3.7.2 Межплатное крепление должно выполняться на 4–6 металлических стойках М2,5.</w:t>
      </w:r>
    </w:p>
    <w:p>
      <w:pPr/>
      <w:r>
        <w:rPr/>
        <w:t xml:space="preserve">3.7.3 Потребляемая мощность субплаты должна быть не более 15 Вт; потребляемая мощность сборки — не более 35 Вт.</w:t>
      </w:r>
    </w:p>
    <w:p>
      <w:pPr/>
      <w:r>
        <w:rPr>
          <w:i/>
        </w:rPr>
        <w:t xml:space="preserve">Проверка — осмотр исполнения и крепления, измерение габаритов и мощности субплаты и сборки. Режим максимального энергопотребления, условия измерения и пределы погрешности — [уточнить].</w:t>
      </w:r>
    </w:p>
    <w:p>
      <w:pPr>
        <w:pStyle w:val="Heading2"/>
        <w:keepNext/>
      </w:pPr>
      <w:r>
        <w:rPr/>
        <w:t xml:space="preserve">3.8 Стойкость к внешним воздействиям и электромагнитные помехи</w:t>
      </w:r>
    </w:p>
    <w:p>
      <w:pPr/>
      <w:r>
        <w:rPr/>
        <w:t xml:space="preserve">3.8.1 Изделие должно соответствовать ГОСТ РВ 20.39.304-98, группы 1.1, 1.3, 1.4.1, исполнение «О».</w:t>
      </w:r>
    </w:p>
    <w:p>
      <w:pPr/>
      <w:r>
        <w:rPr/>
        <w:t xml:space="preserve">3.8.2 Рабочий диапазон температуры должен быть от −10 до +50 °C включительно; предельный диапазон температуры — от −40 до +65 °C включительно.</w:t>
      </w:r>
    </w:p>
    <w:p>
      <w:pPr/>
      <w:r>
        <w:rPr/>
        <w:t xml:space="preserve">3.8.3 Изделие должно выдерживать синусоидальную вибрацию 5g и удары 15g.</w:t>
      </w:r>
    </w:p>
    <w:p>
      <w:pPr/>
      <w:r>
        <w:rPr/>
        <w:t xml:space="preserve">3.8.4 По радиопомехам изделие должно соответствовать группе 1.1.1 ГОСТ В 25803-91.</w:t>
      </w:r>
    </w:p>
    <w:p>
      <w:pPr/>
      <w:r>
        <w:rPr>
          <w:i/>
        </w:rPr>
        <w:t xml:space="preserve">Проверка — испытания в применимых режимах указанных нормативных документов с контролем выполнения функций по разделу 3. Точные диапазоны частот, направления, длительности и иные режимы вибрации и ударов, условия предельных температур, а также критерии сохранения/восстановления работоспособности — [уточнить].</w:t>
      </w:r>
    </w:p>
    <w:p>
      <w:pPr>
        <w:pStyle w:val="Heading2"/>
        <w:keepNext/>
      </w:pPr>
      <w:r>
        <w:rPr/>
        <w:t xml:space="preserve">3.9 Надежность</w:t>
      </w:r>
    </w:p>
    <w:p>
      <w:pPr/>
      <w:r>
        <w:rPr/>
        <w:t xml:space="preserve">3.9.1 Средняя наработка на отказ должна быть не менее 15 000 ч.</w:t>
      </w:r>
    </w:p>
    <w:p>
      <w:pPr/>
      <w:r>
        <w:rPr/>
        <w:t xml:space="preserve">3.9.2 Назначенный срок службы должен быть не менее 5 лет.</w:t>
      </w:r>
    </w:p>
    <w:p>
      <w:pPr/>
      <w:r>
        <w:rPr>
          <w:i/>
        </w:rPr>
        <w:t xml:space="preserve">Проверка — расчетно-аналитическая оценка и/или испытание по согласованной методике. Критерии отказа и предельного состояния, режим эксплуатации, доверительная вероятность, объем выборки и допустимое совмещение испытаний — [уточнить].</w:t>
      </w:r>
    </w:p>
    <w:p>
      <w:pPr>
        <w:pStyle w:val="Heading1"/>
        <w:keepNext/>
      </w:pPr>
      <w:r>
        <w:rPr/>
        <w:t xml:space="preserve">4 Технико-экономические требования</w:t>
      </w:r>
    </w:p>
    <w:p>
      <w:pPr/>
      <w:r>
        <w:rPr/>
        <w:t xml:space="preserve">4.1 Технико-экономические требования к изделию не предъявляются.</w:t>
      </w:r>
    </w:p>
    <w:p>
      <w:pPr>
        <w:pStyle w:val="Heading1"/>
        <w:keepNext/>
      </w:pPr>
      <w:r>
        <w:rPr/>
        <w:t xml:space="preserve">5 Требования к видам обеспечения</w:t>
      </w:r>
    </w:p>
    <w:p>
      <w:pPr>
        <w:pStyle w:val="Heading2"/>
        <w:keepNext/>
      </w:pPr>
      <w:r>
        <w:rPr/>
        <w:t xml:space="preserve">5.1 Требования к нормативно-техническому обеспечению</w:t>
      </w:r>
    </w:p>
    <w:p>
      <w:pPr/>
      <w:r>
        <w:rPr/>
        <w:t xml:space="preserve">5.1.1 При разработке изделия должны применяться документы, перечисленные в перечне применимых нормативных и справочных документов настоящего ТЗ, в части требований, относящихся к изделию, его РКД, программной документации и испытаниям.</w:t>
      </w:r>
    </w:p>
    <w:p>
      <w:pPr/>
      <w:r>
        <w:rPr>
          <w:i/>
        </w:rPr>
        <w:t xml:space="preserve">Примечание — Точные наименования и редакции документов подлежат уточнению до утверждения ТЗ; изменение обозначения документа без установленного основания не допускается.</w:t>
      </w:r>
    </w:p>
    <w:p>
      <w:pPr>
        <w:pStyle w:val="Heading2"/>
        <w:keepNext/>
      </w:pPr>
      <w:r>
        <w:rPr/>
        <w:t xml:space="preserve">5.2 Требования к метрологическому обеспечению</w:t>
      </w:r>
    </w:p>
    <w:p>
      <w:pPr/>
      <w:r>
        <w:rPr/>
        <w:t xml:space="preserve">5.2.1 Должны быть предусмотрены средства и методики измерения формы и амплитуды импульсов по ITU-T G.703, возвратных потерь в тракте 75 Ом, джиттера по ITU-T G.823 и BER.</w:t>
      </w:r>
    </w:p>
    <w:p>
      <w:pPr/>
      <w:r>
        <w:rPr>
          <w:i/>
        </w:rPr>
        <w:t xml:space="preserve">Примечание — Требуемые погрешности, диапазоны средств измерений, порядок их поверки и аттестации методик не заданы: [уточнить].</w:t>
      </w:r>
    </w:p>
    <w:p>
      <w:pPr>
        <w:pStyle w:val="Heading2"/>
        <w:keepNext/>
      </w:pPr>
      <w:r>
        <w:rPr/>
        <w:t xml:space="preserve">5.3 Требования к диагностическому обеспечению</w:t>
      </w:r>
    </w:p>
    <w:p>
      <w:pPr/>
      <w:r>
        <w:rPr/>
        <w:t xml:space="preserve">5.3.1 Должна обеспечиваться регистрация LOS/AIS и BPV с формированием сообщений и отчетов для РМО.</w:t>
      </w:r>
    </w:p>
    <w:p>
      <w:pPr/>
      <w:r>
        <w:rPr>
          <w:i/>
        </w:rPr>
        <w:t xml:space="preserve">Примечание — Формат, состав полей, периодичность, хранение и передача сообщений и отчетов не заданы: [уточнить].</w:t>
      </w:r>
    </w:p>
    <w:p>
      <w:pPr>
        <w:pStyle w:val="Heading2"/>
        <w:keepNext/>
      </w:pPr>
      <w:r>
        <w:rPr/>
        <w:t xml:space="preserve">5.4 Требования к программному обеспечению</w:t>
      </w:r>
    </w:p>
    <w:p>
      <w:pPr/>
      <w:r>
        <w:rPr/>
        <w:t xml:space="preserve">5.4.1 Должны быть разработаны bitstream функционального модуля PDH для размещения во Flash базовой платы, драйверы Linux и MIB для РМО.</w:t>
      </w:r>
    </w:p>
    <w:p>
      <w:pPr/>
      <w:r>
        <w:rPr/>
        <w:t xml:space="preserve">5.4.2 Bitstream PDH должен автоматически загружаться в соответствии с 3.2.3.</w:t>
      </w:r>
    </w:p>
    <w:p>
      <w:pPr/>
      <w:r>
        <w:rPr>
          <w:i/>
        </w:rPr>
        <w:t xml:space="preserve">Примечание — Версии Linux, интерфейсы драйверов, структура MIB, протокол управления, требования к кибербезопасности и состав программной документации не заданы: [уточнить].</w:t>
      </w:r>
    </w:p>
    <w:p>
      <w:pPr/>
      <w:r>
        <w:rPr>
          <w:i/>
        </w:rPr>
        <w:t xml:space="preserve">Проверка требований раздела 5 — анализ документации, осмотр примененных средств и демонстрация измерений, регистрации диагностических событий, формирования сообщений/отчетов и работы программных компонентов. Полные критерии приемки подлежат заданию в ПМИ.</w:t>
      </w:r>
    </w:p>
    <w:p>
      <w:pPr>
        <w:pStyle w:val="Heading1"/>
        <w:keepNext/>
      </w:pPr>
      <w:r>
        <w:rPr/>
        <w:t xml:space="preserve">6 Требования к сырью, материалам и комплектующим изделиям</w:t>
      </w:r>
    </w:p>
    <w:p>
      <w:pPr/>
      <w:r>
        <w:rPr/>
        <w:t xml:space="preserve">6.1 При выборе материалов и комплектующих должен отдаваться приоритет отечественным материалам и комплектующим с приемкой ОТК.</w:t>
      </w:r>
    </w:p>
    <w:p>
      <w:pPr/>
      <w:r>
        <w:rPr/>
        <w:t xml:space="preserve">6.2 При отсутствии отечественных аналогов допускается применение импортной ЭКБ промышленного температурного диапазона.</w:t>
      </w:r>
    </w:p>
    <w:p>
      <w:pPr/>
      <w:r>
        <w:rPr>
          <w:i/>
        </w:rPr>
        <w:t xml:space="preserve">Примечание — Критерии подтверждения отсутствия аналога, конкретный промышленный температурный диапазон и порядок разрешения применения импортной ЭКБ не заданы: [уточнить].</w:t>
      </w:r>
    </w:p>
    <w:p>
      <w:pPr/>
      <w:r>
        <w:rPr>
          <w:i/>
        </w:rPr>
        <w:t xml:space="preserve">Проверка — анализ перечней элементов, документов о приемке ОТК и материалов обоснования применения импортной ЭКБ.</w:t>
      </w:r>
    </w:p>
    <w:p>
      <w:pPr>
        <w:pStyle w:val="Heading1"/>
        <w:keepNext/>
      </w:pPr>
      <w:r>
        <w:rPr/>
        <w:t xml:space="preserve">7 Требования к консервации, упаковке и маркировке</w:t>
      </w:r>
    </w:p>
    <w:p>
      <w:pPr/>
      <w:r>
        <w:rPr/>
        <w:t xml:space="preserve">7.1 На изделии должны быть нанесены децимальный номер, серийный номер и ревизия.</w:t>
      </w:r>
    </w:p>
    <w:p>
      <w:pPr/>
      <w:r>
        <w:rPr/>
        <w:t xml:space="preserve">7.2 Разъемы должны иметь маркировку E2-1, E2-2 и E3-1; кабельные адаптеры — маркировку TX и RX.</w:t>
      </w:r>
    </w:p>
    <w:p>
      <w:pPr/>
      <w:r>
        <w:rPr/>
        <w:t xml:space="preserve">7.3 Каждое изделие должно поставляться в индивидуальной таре с ESD-защитой.</w:t>
      </w:r>
    </w:p>
    <w:p>
      <w:pPr/>
      <w:r>
        <w:rPr/>
        <w:t xml:space="preserve">7.4 Срок хранения изделия в заводской таре должен быть не менее 1 года по ГОСТ 15150.</w:t>
      </w:r>
    </w:p>
    <w:p>
      <w:pPr/>
      <w:r>
        <w:rPr>
          <w:i/>
        </w:rPr>
        <w:t xml:space="preserve">Примечание — Условия хранения по ГОСТ 15150, методы консервации, материал тары, требования к маркировке тары и восстановлению после хранения не заданы: [уточнить].</w:t>
      </w:r>
    </w:p>
    <w:p>
      <w:pPr/>
      <w:r>
        <w:rPr>
          <w:i/>
        </w:rPr>
        <w:t xml:space="preserve">Проверка — осмотр маркировки и упаковки, анализ документации на ESD-защиту и подтверждение срока хранения. Условия испытания хранения — [уточнить].</w:t>
      </w:r>
    </w:p>
    <w:p>
      <w:pPr>
        <w:pStyle w:val="Heading1"/>
        <w:keepNext/>
      </w:pPr>
      <w:r>
        <w:rPr/>
        <w:t xml:space="preserve">8 Специальные требования</w:t>
      </w:r>
    </w:p>
    <w:p>
      <w:pPr/>
      <w:r>
        <w:rPr/>
        <w:t xml:space="preserve">8.1 РМО, реализованное на C++/Qt, должно отображать мнемосхему портов, состояния LOS/AIS и BPV, режим SAToP/E2oP и выбранный источник тактирования.</w:t>
      </w:r>
    </w:p>
    <w:p>
      <w:pPr/>
      <w:r>
        <w:rPr/>
        <w:t xml:space="preserve">8.2 РМО должно обеспечивать команды включения и отключения передатчиков, настройки джиттер-буфера, включения и отключения петель и PRBS.</w:t>
      </w:r>
    </w:p>
    <w:p>
      <w:pPr/>
      <w:r>
        <w:rPr/>
        <w:t xml:space="preserve">8.3 Команды управления не должны отменять требование о непрерывном формировании AIS при потере пакетов или аварии сети по 3.4.5.</w:t>
      </w:r>
    </w:p>
    <w:p>
      <w:pPr/>
      <w:r>
        <w:rPr>
          <w:i/>
        </w:rPr>
        <w:t xml:space="preserve">Проверка — демонстрация отображения каждого указанного состояния и выполнения каждой команды для портов E2-1, E2-2 и E3-1, включая граничные настройки джиттер-буфера. Распределение прав доступа, подтверждение команд, действия при потере связи с РМО и безопасное состояние передатчиков — [уточнить].</w:t>
      </w:r>
    </w:p>
    <w:p>
      <w:r>
        <w:br w:type="page"/>
      </w:r>
    </w:p>
    <w:p>
      <w:pPr/>
      <w:r>
        <w:rPr>
          <w:b/>
        </w:rPr>
        <w:t xml:space="preserve">РАЗРАБОТАНО</w:t>
      </w:r>
    </w:p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700"/>
        <w:gridCol w:w="1800"/>
        <w:gridCol w:w="1300"/>
        <w:gridCol w:w="2100"/>
        <w:gridCol w:w="1400"/>
      </w:tblGrid>
      <w:tr>
        <w:trPr>
          <w:tblHeader/>
        </w:trPr>
        <w:tc>
          <w:tcPr>
            <w:tcW w:w="2700" w:type="dxa"/>
            <w:shd w:fill="D9E2F3"/>
            <w:vAlign w:val="center"/>
          </w:tcPr>
          <w:p>
            <w:pPr/>
            <w:r>
              <w:rPr>
                <w:b/>
              </w:rPr>
              <w:t xml:space="preserve">Организация</w:t>
            </w:r>
          </w:p>
        </w:tc>
        <w:tc>
          <w:tcPr>
            <w:tcW w:w="18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Должность</w:t>
            </w:r>
          </w:p>
        </w:tc>
        <w:tc>
          <w:tcPr>
            <w:tcW w:w="1300" w:type="dxa"/>
            <w:shd w:fill="D9E2F3"/>
            <w:vAlign w:val="center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2100" w:type="dxa"/>
            <w:shd w:fill="D9E2F3"/>
            <w:vAlign w:val="center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14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ООО «тушканчик»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</w:tbl>
    <w:p>
      <w:pPr/>
      <w:r>
        <w:rPr>
          <w:b/>
        </w:rPr>
        <w:t xml:space="preserve">СОГЛАСОВАНО</w:t>
      </w:r>
    </w:p>
    <w:tbl>
      <w:tblPr>
        <w:tblW w:w="96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2700"/>
        <w:gridCol w:w="1800"/>
        <w:gridCol w:w="1300"/>
        <w:gridCol w:w="2100"/>
        <w:gridCol w:w="1400"/>
      </w:tblGrid>
      <w:tr>
        <w:trPr>
          <w:tblHeader/>
        </w:trPr>
        <w:tc>
          <w:tcPr>
            <w:tcW w:w="2700" w:type="dxa"/>
            <w:shd w:fill="D9E2F3"/>
            <w:vAlign w:val="center"/>
          </w:tcPr>
          <w:p>
            <w:pPr/>
            <w:r>
              <w:rPr>
                <w:b/>
              </w:rPr>
              <w:t xml:space="preserve">Организация</w:t>
            </w:r>
          </w:p>
        </w:tc>
        <w:tc>
          <w:tcPr>
            <w:tcW w:w="18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Должность</w:t>
            </w:r>
          </w:p>
        </w:tc>
        <w:tc>
          <w:tcPr>
            <w:tcW w:w="1300" w:type="dxa"/>
            <w:shd w:fill="D9E2F3"/>
            <w:vAlign w:val="center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2100" w:type="dxa"/>
            <w:shd w:fill="D9E2F3"/>
            <w:vAlign w:val="center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1400" w:type="dxa"/>
            <w:shd w:fill="D9E2F3"/>
            <w:vAlign w:val="center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Головной исполнитель ОКР — [уточнить]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Заказчик (НИО заказчика) — [уточнить]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  <w:tr>
        <w:trPr/>
        <w:tc>
          <w:tcPr>
            <w:tcW w:w="2700" w:type="dxa"/>
            <w:vAlign w:val="center"/>
          </w:tcPr>
          <w:p>
            <w:pPr/>
            <w:r>
              <w:rPr/>
              <w:t xml:space="preserve">Другие согласующие организации — [уточнить]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__________</w:t>
            </w:r>
          </w:p>
        </w:tc>
        <w:tc>
          <w:tcPr>
            <w:tcW w:w="2100" w:type="dxa"/>
            <w:vAlign w:val="center"/>
          </w:tcPr>
          <w:p>
            <w:pPr/>
            <w:r>
              <w:rPr/>
              <w:t xml:space="preserve">[уточнить]</w:t>
            </w:r>
          </w:p>
        </w:tc>
        <w:tc>
          <w:tcPr>
            <w:tcW w:w="1400" w:type="dxa"/>
            <w:vAlign w:val="center"/>
          </w:tcPr>
          <w:p>
            <w:pPr/>
            <w:r>
              <w:rPr/>
              <w:t xml:space="preserve">[уточнить]</w:t>
            </w:r>
          </w:p>
        </w:tc>
      </w:tr>
    </w:tbl>
    <w:sectPr>
      <w:headerReference w:type="default" r:id="rIdHeader"/>
      <w:pgSz w:w="11906" w:h="16838"/>
      <w:pgMar w:top="1134" w:right="1134" w:bottom="1134" w:left="1701" w:header="450" w:footer="450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ettings.xml><?xml version="1.0" encoding="utf-8"?>
<w:settings xmlns:w="http://schemas.openxmlformats.org/wordprocessingml/2006/main">
  <w:updateFields w:val="true"/>
  <w:evenAndOddHeaders w:val="false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Обычный"/>
  </w:style>
  <w:style w:type="paragraph" w:styleId="Heading1">
    <w:name w:val="Заголовок 1"/>
    <w:basedOn w:val="Normal"/>
    <w:next w:val="Normal"/>
    <w:qFormat/>
    <w:pPr>
      <w:keepNext/>
      <w:spacing w:before="300" w:after="180"/>
      <w:outlineLvl w:val="0"/>
    </w:pPr>
    <w:rPr>
      <w:b/>
      <w:sz w:val="28"/>
      <w:szCs w:val="28"/>
    </w:rPr>
  </w:style>
  <w:style w:type="paragraph" w:styleId="Heading2">
    <w:name w:val="Заголовок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составную часть ОКР «Развитие-ТСА»</dc:title>
  <dc:creator>ООО «тушканчик»</dc:creator>
  <dcterms:created xsi:type="dcterms:W3CDTF">2026-10-03T00:00:00Z</dcterms:created>
</cp:coreProperties>
</file>