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2600"/>
        <w:gridCol w:w="2600"/>
      </w:tblGrid>
      <w:tr>
        <w:tc>
          <w:tcPr>
            <w:tcW w:w="2600" w:type="dxa"/>
          </w:tcPr>
          <w:p>
            <w:pPr>
              <w:spacing w:before="0" w:after="30"/>
            </w:pPr>
            <w:r>
              <w:rPr/>
              <w:t xml:space="preserve">СОГЛАСОВАНО
Заказчик
[уточнить]
____________ [уточнить]
«___» _________ 20__ г.</w:t>
            </w:r>
          </w:p>
        </w:tc>
        <w:tc>
          <w:tcPr>
            <w:tcW w:w="2600" w:type="dxa"/>
          </w:tcPr>
          <w:p>
            <w:pPr>
              <w:spacing w:before="0" w:after="30"/>
            </w:pPr>
            <w:r>
              <w:rPr/>
              <w:t xml:space="preserve">СОГЛАСОВАНО
Исполнитель составной части ОКР
ООО «тушканчик»
____________ [уточнить]
«___» _________ 20__ г.</w:t>
            </w:r>
          </w:p>
        </w:tc>
        <w:tc>
          <w:tcPr>
            <w:tcW w:w="2600" w:type="dxa"/>
          </w:tcPr>
          <w:p>
            <w:pPr>
              <w:spacing w:before="0" w:after="30"/>
            </w:pPr>
            <w:r>
              <w:rPr/>
              <w:t xml:space="preserve">УТВЕРЖДАЮ
Головной исполнитель ОКР
[уточнить]
____________ [уточнить]
«___» _________ 20__ г.</w:t>
            </w:r>
          </w:p>
        </w:tc>
      </w:tr>
    </w:tbl>
    <w:p>
      <w:pPr>
        <w:spacing w:before="0" w:after="300"/>
      </w:pPr>
      <w:r>
        <w:rPr/>
        <w:t xml:space="preserve"/>
      </w:r>
    </w:p>
    <w:p>
      <w:pPr>
        <w:jc w:val="center"/>
        <w:spacing w:before="0" w:after="80"/>
      </w:pPr>
      <w:r>
        <w:rPr>
          <w:b/>
          <w:sz w:val="28"/>
          <w:szCs w:val="28"/>
        </w:rPr>
        <w:t xml:space="preserve">ТЕХНИЧЕСКОЕ ЗАДАНИЕ</w:t>
      </w:r>
    </w:p>
    <w:p>
      <w:pPr>
        <w:jc w:val="center"/>
        <w:spacing w:before="0" w:after="80"/>
      </w:pPr>
      <w:r>
        <w:rPr>
          <w:b/>
          <w:sz w:val="22"/>
          <w:szCs w:val="22"/>
        </w:rPr>
        <w:t xml:space="preserve">НА СОСТАВНУЮ ЧАСТЬ ОПЫТНО-КОНСТРУКТОРСКОЙ РАБОТЫ</w:t>
      </w:r>
    </w:p>
    <w:p>
      <w:pPr>
        <w:spacing w:before="0" w:after="220"/>
      </w:pPr>
      <w:r>
        <w:rPr/>
        <w:t xml:space="preserve"/>
      </w:r>
    </w:p>
    <w:p>
      <w:pPr>
        <w:jc w:val="center"/>
        <w:spacing w:before="0" w:after="80"/>
      </w:pPr>
      <w:r>
        <w:rPr>
          <w:b/>
          <w:sz w:val="22"/>
          <w:szCs w:val="22"/>
        </w:rPr>
        <w:t xml:space="preserve">Разработка сменной интерфейсной субплаты E2/E3 и функционального модуля PDH
для универсального базового модуля AMC семейства ДММП</w:t>
      </w:r>
    </w:p>
    <w:p>
      <w:pPr>
        <w:jc w:val="center"/>
        <w:spacing w:before="0" w:after="300"/>
      </w:pPr>
      <w:r>
        <w:rPr>
          <w:sz w:val="22"/>
          <w:szCs w:val="22"/>
        </w:rPr>
        <w:t xml:space="preserve">Шифр ОКР «Развитие-ТСА»</w:t>
      </w:r>
    </w:p>
    <w:p>
      <w:pPr>
        <w:jc w:val="center"/>
        <w:spacing w:before="0" w:after="80"/>
      </w:pPr>
      <w:r>
        <w:rPr/>
        <w:t xml:space="preserve">Обозначение составной части изделия: [уточнить]</w:t>
      </w:r>
    </w:p>
    <w:p>
      <w:pPr>
        <w:jc w:val="right"/>
        <w:spacing w:before="0" w:after="0"/>
      </w:pPr>
      <w:r>
        <w:rPr/>
        <w:t xml:space="preserve">Действует с дополнением: —</w:t>
      </w:r>
    </w:p>
    <w:p>
      <w:r>
        <w:br w:type="page"/>
      </w:r>
    </w:p>
    <w:p>
      <w:pPr>
        <w:pStyle w:val="Heading1"/>
        <w:spacing w:before="180" w:after="100"/>
        <w:keepNext/>
      </w:pPr>
      <w:r>
        <w:rPr>
          <w:b/>
        </w:rPr>
        <w:t xml:space="preserve"> Лист согласования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2500"/>
        <w:gridCol w:w="1500"/>
        <w:gridCol w:w="1300"/>
      </w:tblGrid>
      <w:tr>
        <w:tc>
          <w:tcPr>
            <w:tcW w:w="2600" w:type="dxa"/>
            <w:shd w:fill="D9E2F3"/>
          </w:tcPr>
          <w:p>
            <w:pPr>
              <w:spacing w:before="0" w:after="30"/>
            </w:pPr>
            <w:r>
              <w:rPr/>
              <w:t xml:space="preserve">Организация / роль</w:t>
            </w:r>
          </w:p>
        </w:tc>
        <w:tc>
          <w:tcPr>
            <w:tcW w:w="2500" w:type="dxa"/>
            <w:shd w:fill="D9E2F3"/>
          </w:tcPr>
          <w:p>
            <w:pPr>
              <w:spacing w:before="0" w:after="30"/>
            </w:pPr>
            <w:r>
              <w:rPr/>
              <w:t xml:space="preserve">Должность, ФИО</w:t>
            </w:r>
          </w:p>
        </w:tc>
        <w:tc>
          <w:tcPr>
            <w:tcW w:w="1500" w:type="dxa"/>
            <w:shd w:fill="D9E2F3"/>
          </w:tcPr>
          <w:p>
            <w:pPr>
              <w:spacing w:before="0" w:after="30"/>
            </w:pPr>
            <w:r>
              <w:rPr/>
              <w:t xml:space="preserve">Подпись</w:t>
            </w:r>
          </w:p>
        </w:tc>
        <w:tc>
          <w:tcPr>
            <w:tcW w:w="1300" w:type="dxa"/>
            <w:shd w:fill="D9E2F3"/>
          </w:tcPr>
          <w:p>
            <w:pPr>
              <w:spacing w:before="0" w:after="30"/>
            </w:pPr>
            <w:r>
              <w:rPr/>
              <w:t xml:space="preserve">Дата</w:t>
            </w:r>
          </w:p>
        </w:tc>
      </w:tr>
      <w:tr>
        <w:tc>
          <w:tcPr>
            <w:tcW w:w="2600" w:type="dxa"/>
          </w:tcPr>
          <w:p>
            <w:pPr>
              <w:spacing w:before="0" w:after="30"/>
            </w:pPr>
            <w:r>
              <w:rPr/>
              <w:t xml:space="preserve">Заказчик</w:t>
            </w:r>
          </w:p>
        </w:tc>
        <w:tc>
          <w:tcPr>
            <w:tcW w:w="2500" w:type="dxa"/>
          </w:tcPr>
          <w:p>
            <w:pPr>
              <w:spacing w:before="0" w:after="30"/>
            </w:pPr>
            <w:r>
              <w:rPr/>
              <w:t xml:space="preserve">[уточнить]</w:t>
            </w:r>
          </w:p>
        </w:tc>
        <w:tc>
          <w:tcPr>
            <w:tcW w:w="1500" w:type="dxa"/>
          </w:tcPr>
          <w:p>
            <w:pPr>
              <w:spacing w:before="0" w:after="30"/>
            </w:pPr>
            <w:r>
              <w:rPr/>
              <w:t xml:space="preserve">____________</w:t>
            </w:r>
          </w:p>
        </w:tc>
        <w:tc>
          <w:tcPr>
            <w:tcW w:w="1300" w:type="dxa"/>
          </w:tcPr>
          <w:p>
            <w:pPr>
              <w:spacing w:before="0" w:after="30"/>
            </w:pPr>
            <w:r>
              <w:rPr/>
              <w:t xml:space="preserve">[уточнить]</w:t>
            </w:r>
          </w:p>
        </w:tc>
      </w:tr>
      <w:tr>
        <w:tc>
          <w:tcPr>
            <w:tcW w:w="2600" w:type="dxa"/>
          </w:tcPr>
          <w:p>
            <w:pPr>
              <w:spacing w:before="0" w:after="30"/>
            </w:pPr>
            <w:r>
              <w:rPr/>
              <w:t xml:space="preserve">Головной исполнитель ОКР</w:t>
            </w:r>
          </w:p>
        </w:tc>
        <w:tc>
          <w:tcPr>
            <w:tcW w:w="2500" w:type="dxa"/>
          </w:tcPr>
          <w:p>
            <w:pPr>
              <w:spacing w:before="0" w:after="30"/>
            </w:pPr>
            <w:r>
              <w:rPr/>
              <w:t xml:space="preserve">[уточнить]</w:t>
            </w:r>
          </w:p>
        </w:tc>
        <w:tc>
          <w:tcPr>
            <w:tcW w:w="1500" w:type="dxa"/>
          </w:tcPr>
          <w:p>
            <w:pPr>
              <w:spacing w:before="0" w:after="30"/>
            </w:pPr>
            <w:r>
              <w:rPr/>
              <w:t xml:space="preserve">____________</w:t>
            </w:r>
          </w:p>
        </w:tc>
        <w:tc>
          <w:tcPr>
            <w:tcW w:w="1300" w:type="dxa"/>
          </w:tcPr>
          <w:p>
            <w:pPr>
              <w:spacing w:before="0" w:after="30"/>
            </w:pPr>
            <w:r>
              <w:rPr/>
              <w:t xml:space="preserve">[уточнить]</w:t>
            </w:r>
          </w:p>
        </w:tc>
      </w:tr>
      <w:tr>
        <w:tc>
          <w:tcPr>
            <w:tcW w:w="2600" w:type="dxa"/>
          </w:tcPr>
          <w:p>
            <w:pPr>
              <w:spacing w:before="0" w:after="30"/>
            </w:pPr>
            <w:r>
              <w:rPr/>
              <w:t xml:space="preserve">Исполнитель СЧ ОКР — ООО «тушканчик»</w:t>
            </w:r>
          </w:p>
        </w:tc>
        <w:tc>
          <w:tcPr>
            <w:tcW w:w="2500" w:type="dxa"/>
          </w:tcPr>
          <w:p>
            <w:pPr>
              <w:spacing w:before="0" w:after="30"/>
            </w:pPr>
            <w:r>
              <w:rPr/>
              <w:t xml:space="preserve">[уточнить]</w:t>
            </w:r>
          </w:p>
        </w:tc>
        <w:tc>
          <w:tcPr>
            <w:tcW w:w="1500" w:type="dxa"/>
          </w:tcPr>
          <w:p>
            <w:pPr>
              <w:spacing w:before="0" w:after="30"/>
            </w:pPr>
            <w:r>
              <w:rPr/>
              <w:t xml:space="preserve">____________</w:t>
            </w:r>
          </w:p>
        </w:tc>
        <w:tc>
          <w:tcPr>
            <w:tcW w:w="1300" w:type="dxa"/>
          </w:tcPr>
          <w:p>
            <w:pPr>
              <w:spacing w:before="0" w:after="30"/>
            </w:pPr>
            <w:r>
              <w:rPr/>
              <w:t xml:space="preserve">[уточнить]</w:t>
            </w:r>
          </w:p>
        </w:tc>
      </w:tr>
      <w:tr>
        <w:tc>
          <w:tcPr>
            <w:tcW w:w="2600" w:type="dxa"/>
          </w:tcPr>
          <w:p>
            <w:pPr>
              <w:spacing w:before="0" w:after="30"/>
            </w:pPr>
            <w:r>
              <w:rPr/>
              <w:t xml:space="preserve">Другие согласующие организации</w:t>
            </w:r>
          </w:p>
        </w:tc>
        <w:tc>
          <w:tcPr>
            <w:tcW w:w="2500" w:type="dxa"/>
          </w:tcPr>
          <w:p>
            <w:pPr>
              <w:spacing w:before="0" w:after="30"/>
            </w:pPr>
            <w:r>
              <w:rPr/>
              <w:t xml:space="preserve">[уточнить]</w:t>
            </w:r>
          </w:p>
        </w:tc>
        <w:tc>
          <w:tcPr>
            <w:tcW w:w="1500" w:type="dxa"/>
          </w:tcPr>
          <w:p>
            <w:pPr>
              <w:spacing w:before="0" w:after="30"/>
            </w:pPr>
            <w:r>
              <w:rPr/>
              <w:t xml:space="preserve">____________</w:t>
            </w:r>
          </w:p>
        </w:tc>
        <w:tc>
          <w:tcPr>
            <w:tcW w:w="1300" w:type="dxa"/>
          </w:tcPr>
          <w:p>
            <w:pPr>
              <w:spacing w:before="0" w:after="30"/>
            </w:pPr>
            <w:r>
              <w:rPr/>
              <w:t xml:space="preserve">[уточнить]</w:t>
            </w:r>
          </w:p>
        </w:tc>
      </w:tr>
    </w:tbl>
    <w:p>
      <w:pPr>
        <w:spacing w:before="0" w:after="140"/>
      </w:pPr>
      <w:r>
        <w:rPr>
          <w:i/>
        </w:rPr>
        <w:t xml:space="preserve">Примечание — Необходимость и состав дополнительных согласований определяются в соответствии с ГОСТ 15.016-2016, 7.2; незаданные реквизиты подлежат уточнению.</w:t>
      </w:r>
    </w:p>
    <w:p>
      <w:pPr>
        <w:pStyle w:val="Heading1"/>
        <w:spacing w:before="180" w:after="100"/>
        <w:keepNext/>
      </w:pPr>
      <w:r>
        <w:rPr>
          <w:b/>
        </w:rPr>
        <w:t xml:space="preserve"> Перечень обозначений и сокращений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5700"/>
      </w:tblGrid>
      <w:tr>
        <w:tc>
          <w:tcPr>
            <w:tcW w:w="2200" w:type="dxa"/>
            <w:shd w:fill="D9E2F3"/>
          </w:tcPr>
          <w:p>
            <w:pPr>
              <w:spacing w:before="0" w:after="30"/>
            </w:pPr>
            <w:r>
              <w:rPr/>
              <w:t xml:space="preserve">Сокращение, термин</w:t>
            </w:r>
          </w:p>
        </w:tc>
        <w:tc>
          <w:tcPr>
            <w:tcW w:w="5700" w:type="dxa"/>
            <w:shd w:fill="D9E2F3"/>
          </w:tcPr>
          <w:p>
            <w:pPr>
              <w:spacing w:before="0" w:after="30"/>
            </w:pPr>
            <w:r>
              <w:rPr/>
              <w:t xml:space="preserve">Значение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AMC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Advanced Mezzanine Card; форм-фактор модуля, применяемый для субплаты и базовой платы.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ПЛИС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Программируемая логическая интегральная схема.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B2B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Board-to-Board; межплатное соединение.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Board ID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Идентификатор субплаты, хранимый в EEPROM.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MMC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Контроллер управления модулем.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РМО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Рабочее место оператора.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ОКР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Опытно-конструкторская работа.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РКД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Рабочая конструкторская документация.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ПМИ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Программа и методика испытаний.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PDH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Plesiochronous Digital Hierarchy; плезиохронная цифровая иерархия.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E2 / E3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Потоки PDH номинальной скоростью 8,448 Мбит/с / 34,368 Мбит/с.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LIU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Линейный интерфейсный блок.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EEPROM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Электрически стираемое перепрограммируемое постоянное запоминающее устройство.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HDB3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Код High Density Bipolar of order 3.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SAToP / E2oP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Передача синхронной TDM-линии по пакетной сети / передача E2 по пакетной сети на архитектуре SAToP.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AIS, LOS, BPV, CV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Сигнал индикации аварии; потеря сигнала; нарушение биполярности; нарушение кода.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ACR / DCR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Адаптивное / дифференциальное восстановление тактовой частоты.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DPLL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Цифровая фазовая автоподстройка частоты.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TCLK, RX_CLK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Тактовый сигнал системы / восстановленная частота приёма.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QoS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Качество обслуживания.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PRBS, BER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Псевдослучайная двоичная последовательность; коэффициент битовых ошибок.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ESD, ОТК, ЭКБ</w:t>
            </w:r>
          </w:p>
        </w:tc>
        <w:tc>
          <w:tcPr>
            <w:tcW w:w="5700" w:type="dxa"/>
          </w:tcPr>
          <w:p>
            <w:pPr>
              <w:spacing w:before="0" w:after="30"/>
            </w:pPr>
            <w:r>
              <w:rPr/>
              <w:t xml:space="preserve">Защита от электростатического разряда; отдел технического контроля; электронная компонентная база.</w:t>
            </w:r>
          </w:p>
        </w:tc>
      </w:tr>
    </w:tbl>
    <w:p>
      <w:pPr>
        <w:pStyle w:val="Heading1"/>
        <w:spacing w:before="180" w:after="100"/>
        <w:keepNext/>
      </w:pPr>
      <w:r>
        <w:rPr>
          <w:b/>
        </w:rPr>
        <w:t xml:space="preserve"> Перечень применимых нормативных и справочных документов</w:t>
      </w:r>
    </w:p>
    <w:p>
      <w:pPr>
        <w:spacing w:before="0" w:after="30"/>
      </w:pPr>
      <w:r>
        <w:rPr/>
        <w:t xml:space="preserve">— ГОСТ 15.016-2016 «Система разработки и постановки продукции на производство. Техническое задание. Требования к содержанию и оформлению».</w:t>
      </w:r>
    </w:p>
    <w:p>
      <w:pPr>
        <w:spacing w:before="0" w:after="30"/>
      </w:pPr>
      <w:r>
        <w:rPr/>
        <w:t xml:space="preserve">— ITU-T G.703; ITU-T G.704; ITU-T G.751; ITU-T G.823.</w:t>
      </w:r>
    </w:p>
    <w:p>
      <w:pPr>
        <w:spacing w:before="0" w:after="30"/>
      </w:pPr>
      <w:r>
        <w:rPr/>
        <w:t xml:space="preserve">— RFC 4553.</w:t>
      </w:r>
    </w:p>
    <w:p>
      <w:pPr>
        <w:spacing w:before="0" w:after="30"/>
      </w:pPr>
      <w:r>
        <w:rPr/>
        <w:t xml:space="preserve">— PICMG AMC.0 R2.0.</w:t>
      </w:r>
    </w:p>
    <w:p>
      <w:pPr>
        <w:spacing w:before="0" w:after="30"/>
      </w:pPr>
      <w:r>
        <w:rPr/>
        <w:t xml:space="preserve">— ГОСТ РВ 20.39.304-98.</w:t>
      </w:r>
    </w:p>
    <w:p>
      <w:pPr>
        <w:spacing w:before="0" w:after="30"/>
      </w:pPr>
      <w:r>
        <w:rPr/>
        <w:t xml:space="preserve">— ГОСТ В 25803-91.</w:t>
      </w:r>
    </w:p>
    <w:p>
      <w:pPr>
        <w:spacing w:before="0" w:after="30"/>
      </w:pPr>
      <w:r>
        <w:rPr/>
        <w:t xml:space="preserve">— ГОСТ 2.114-2016.</w:t>
      </w:r>
    </w:p>
    <w:p>
      <w:pPr>
        <w:spacing w:before="0" w:after="30"/>
      </w:pPr>
      <w:r>
        <w:rPr/>
        <w:t xml:space="preserve">— ГОСТ РВ 15.201-2003.</w:t>
      </w:r>
    </w:p>
    <w:p>
      <w:pPr>
        <w:spacing w:before="0" w:after="30"/>
      </w:pPr>
      <w:r>
        <w:rPr/>
        <w:t xml:space="preserve">— ГОСТ 15150.</w:t>
      </w:r>
    </w:p>
    <w:p>
      <w:pPr>
        <w:pStyle w:val="Heading1"/>
        <w:spacing w:before="180" w:after="100"/>
        <w:keepNext/>
      </w:pPr>
      <w:r>
        <w:rPr>
          <w:b/>
        </w:rPr>
        <w:t xml:space="preserve">1. Наименование, шифр, основание, исполнители и сроки ОКР</w:t>
      </w:r>
    </w:p>
    <w:p>
      <w:pPr>
        <w:spacing w:before="0" w:after="80"/>
      </w:pPr>
      <w:r>
        <w:rPr/>
        <w:t xml:space="preserve">1.1 Наименование работ: разработка сменной интерфейсной субплаты E2/E3 и функционального модуля PDH для универсального базового модуля AMC семейства ДММП.</w:t>
      </w:r>
    </w:p>
    <w:p>
      <w:pPr>
        <w:spacing w:before="0" w:after="80"/>
      </w:pPr>
      <w:r>
        <w:rPr/>
        <w:t xml:space="preserve">1.2 Шифр ОКР — «Развитие-ТСА».</w:t>
      </w:r>
    </w:p>
    <w:p>
      <w:pPr>
        <w:spacing w:before="0" w:after="80"/>
      </w:pPr>
      <w:r>
        <w:rPr/>
        <w:t xml:space="preserve">1.3 Основание выполнения — приказ об открытии инициативной ОКР № [уточнить] от [уточнить].</w:t>
      </w:r>
    </w:p>
    <w:p>
      <w:pPr>
        <w:spacing w:before="0" w:after="80"/>
      </w:pPr>
      <w:r>
        <w:rPr/>
        <w:t xml:space="preserve">1.4 Исполнитель СЧ ОКР — ООО «тушканчик» (условное наименование из исходных данных). Головной исполнитель ОКР и заказчик — [уточнить].</w:t>
      </w:r>
    </w:p>
    <w:p>
      <w:pPr>
        <w:spacing w:before="0" w:after="80"/>
      </w:pPr>
      <w:r>
        <w:rPr/>
        <w:t xml:space="preserve">1.5 Сроки выполнения СЧ ОКР должны быть увязаны с утверждённым планом-графиком разработки РКД, программной документации, изготовления образцов и испытаний. Календарные даты — [уточнить].</w:t>
      </w:r>
    </w:p>
    <w:p>
      <w:pPr>
        <w:pStyle w:val="Heading1"/>
        <w:spacing w:before="180" w:after="100"/>
        <w:keepNext/>
      </w:pPr>
      <w:r>
        <w:rPr>
          <w:b/>
        </w:rPr>
        <w:t xml:space="preserve">2. Цель выполнения, наименование, назначение и область применения изделия</w:t>
      </w:r>
    </w:p>
    <w:p>
      <w:pPr>
        <w:spacing w:before="0" w:after="80"/>
      </w:pPr>
      <w:r>
        <w:rPr/>
        <w:t xml:space="preserve">2.1 Цель — создать сменную интерфейсную субплату E2/E3 и функциональный модуль PDH, обеспечивающие подключение двух независимых потоков E2 и одного потока E3 к платформе ДММП через коаксиальные линии, TDM-over-Packet, джиттер-буферизацию и синхронизацию.</w:t>
      </w:r>
    </w:p>
    <w:p>
      <w:pPr>
        <w:spacing w:before="0" w:after="80"/>
      </w:pPr>
      <w:r>
        <w:rPr/>
        <w:t xml:space="preserve">2.2 Изделие устанавливается в формате AMC на Carrier платформы ДММП. Область применения: PDH-тракты 8 и 34 Мбит/с энергетики, железнодорожного транспорта и магистральных операторов.</w:t>
      </w:r>
    </w:p>
    <w:p>
      <w:pPr>
        <w:spacing w:before="0" w:after="80"/>
      </w:pPr>
      <w:r>
        <w:rPr/>
        <w:t xml:space="preserve">2.3 Аппаратная часть включает субплату, интерфейсы, средства защиты, трансиверы и EEPROM. Логическая часть включает функциональный модуль ПЛИС базовой платы, автоматически активируемый по Board ID.</w:t>
      </w:r>
    </w:p>
    <w:p>
      <w:pPr>
        <w:pStyle w:val="Heading1"/>
        <w:spacing w:before="180" w:after="100"/>
        <w:keepNext/>
      </w:pPr>
      <w:r>
        <w:rPr>
          <w:b/>
        </w:rPr>
        <w:t xml:space="preserve">3. Технические требования к изделию</w:t>
      </w:r>
    </w:p>
    <w:p>
      <w:pPr>
        <w:pStyle w:val="Heading2"/>
        <w:spacing w:before="180" w:after="100"/>
        <w:keepNext/>
      </w:pPr>
      <w:r>
        <w:rPr>
          <w:b/>
        </w:rPr>
        <w:t xml:space="preserve">3.1 Архитектура, разъёмы и кабели</w:t>
      </w:r>
    </w:p>
    <w:p>
      <w:pPr>
        <w:spacing w:before="0" w:after="80"/>
      </w:pPr>
      <w:r>
        <w:rPr/>
        <w:t xml:space="preserve">3.1.1 Субплата должна подключаться через B2B и содержать три экранированных вибростойких разъёма HARTING PushPull 09452812560 с замковой фиксацией, тракты 75 Ом, ВЧ-трансформаторы, LIU, EEPROM с Board ID 0x03 и светодиоды.</w:t>
      </w:r>
    </w:p>
    <w:p>
      <w:pPr>
        <w:spacing w:before="0" w:after="80"/>
      </w:pPr>
      <w:r>
        <w:rPr/>
        <w:t xml:space="preserve">3.1.2 Базовая плата должна предоставлять +12 В, +3,3 В, MMC и тактирование, а также автоматически загружать bitstream PDH из Flash.</w:t>
      </w:r>
    </w:p>
    <w:p>
      <w:pPr>
        <w:spacing w:before="0" w:after="80"/>
      </w:pPr>
      <w:r>
        <w:rPr/>
        <w:t xml:space="preserve">3.1.3 Каждый разъём E2-1, E2-2 и E3-1 должен обслуживать отдельные TX/RX коаксиальные цепи 75 Ом.</w:t>
      </w:r>
    </w:p>
    <w:p>
      <w:pPr>
        <w:spacing w:before="0" w:after="80"/>
      </w:pPr>
      <w:r>
        <w:rPr/>
        <w:t xml:space="preserve">3.1.4 В комплект и РКД должны быть включены экранированные адаптеры HARTING PushPull → две вилки BNC 75 Ом / DIN 1.0/2.3 с маркировкой TX/RX. Применение BNC 50 Ом запрещается по импедансу и габаритам.</w:t>
      </w:r>
    </w:p>
    <w:p>
      <w:pPr>
        <w:spacing w:before="0" w:after="80"/>
      </w:pPr>
      <w:r>
        <w:rPr/>
        <w:t xml:space="preserve">3.1.5 Конструкция должна соответствовать Single Full-size AMC.0; габаритные размеры — 73,5 × 180,6 × 28,95 мм. Межплатное крепление должно выполняться на 4–6 металлических стойках М2,5.</w:t>
      </w:r>
    </w:p>
    <w:p>
      <w:pPr>
        <w:spacing w:before="0" w:after="80"/>
      </w:pPr>
      <w:r>
        <w:rPr/>
        <w:t xml:space="preserve">3.1.6 Проверка требований 3.1.1–3.1.5: осмотр, измерение и проверка РКД; подлежат подтверждению состав, идентификатор, типы и количество интерфейсов, маркировка, импеданс, запрет BNC 50 Ом, габариты и крепление. Средства, погрешности измерений и условия контроля — [уточнить].</w:t>
      </w:r>
    </w:p>
    <w:p>
      <w:pPr>
        <w:pStyle w:val="Heading2"/>
        <w:spacing w:before="180" w:after="100"/>
        <w:keepNext/>
      </w:pPr>
      <w:r>
        <w:rPr>
          <w:b/>
        </w:rPr>
        <w:t xml:space="preserve">3.2 Электрические параметры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850"/>
        <w:gridCol w:w="2850"/>
      </w:tblGrid>
      <w:tr>
        <w:tc>
          <w:tcPr>
            <w:tcW w:w="2200" w:type="dxa"/>
            <w:shd w:fill="D9E2F3"/>
          </w:tcPr>
          <w:p>
            <w:pPr>
              <w:spacing w:before="0" w:after="30"/>
            </w:pPr>
            <w:r>
              <w:rPr/>
              <w:t xml:space="preserve">Параметр</w:t>
            </w:r>
          </w:p>
        </w:tc>
        <w:tc>
          <w:tcPr>
            <w:tcW w:w="2850" w:type="dxa"/>
            <w:shd w:fill="D9E2F3"/>
          </w:tcPr>
          <w:p>
            <w:pPr>
              <w:spacing w:before="0" w:after="30"/>
            </w:pPr>
            <w:r>
              <w:rPr/>
              <w:t xml:space="preserve">E2 (два порта)</w:t>
            </w:r>
          </w:p>
        </w:tc>
        <w:tc>
          <w:tcPr>
            <w:tcW w:w="2850" w:type="dxa"/>
            <w:shd w:fill="D9E2F3"/>
          </w:tcPr>
          <w:p>
            <w:pPr>
              <w:spacing w:before="0" w:after="30"/>
            </w:pPr>
            <w:r>
              <w:rPr/>
              <w:t xml:space="preserve">E3 (один порт)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Скорость</w:t>
            </w:r>
          </w:p>
        </w:tc>
        <w:tc>
          <w:tcPr>
            <w:tcW w:w="2850" w:type="dxa"/>
          </w:tcPr>
          <w:p>
            <w:pPr>
              <w:spacing w:before="0" w:after="30"/>
            </w:pPr>
            <w:r>
              <w:rPr/>
              <w:t xml:space="preserve">8448 кбит/с (8,448 Мбит/с) ±30 ppm</w:t>
            </w:r>
          </w:p>
        </w:tc>
        <w:tc>
          <w:tcPr>
            <w:tcW w:w="2850" w:type="dxa"/>
          </w:tcPr>
          <w:p>
            <w:pPr>
              <w:spacing w:before="0" w:after="30"/>
            </w:pPr>
            <w:r>
              <w:rPr/>
              <w:t xml:space="preserve">34 368 кбит/с (34,368 Мбит/с) ±20 ppm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Код и сопротивление</w:t>
            </w:r>
          </w:p>
        </w:tc>
        <w:tc>
          <w:tcPr>
            <w:tcW w:w="2850" w:type="dxa"/>
          </w:tcPr>
          <w:p>
            <w:pPr>
              <w:spacing w:before="0" w:after="30"/>
            </w:pPr>
            <w:r>
              <w:rPr/>
              <w:t xml:space="preserve">HDB3, 75 Ом</w:t>
            </w:r>
          </w:p>
        </w:tc>
        <w:tc>
          <w:tcPr>
            <w:tcW w:w="2850" w:type="dxa"/>
          </w:tcPr>
          <w:p>
            <w:pPr>
              <w:spacing w:before="0" w:after="30"/>
            </w:pPr>
            <w:r>
              <w:rPr/>
              <w:t xml:space="preserve">HDB3, 75 Ом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Пиковое напряжение / длительность</w:t>
            </w:r>
          </w:p>
        </w:tc>
        <w:tc>
          <w:tcPr>
            <w:tcW w:w="2850" w:type="dxa"/>
          </w:tcPr>
          <w:p>
            <w:pPr>
              <w:spacing w:before="0" w:after="30"/>
            </w:pPr>
            <w:r>
              <w:rPr/>
              <w:t xml:space="preserve">2,37 В / 59 нс</w:t>
            </w:r>
          </w:p>
        </w:tc>
        <w:tc>
          <w:tcPr>
            <w:tcW w:w="2850" w:type="dxa"/>
          </w:tcPr>
          <w:p>
            <w:pPr>
              <w:spacing w:before="0" w:after="30"/>
            </w:pPr>
            <w:r>
              <w:rPr/>
              <w:t xml:space="preserve">1,0 В / 14,55 нс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Возвратные потери входа/выхода</w:t>
            </w:r>
          </w:p>
        </w:tc>
        <w:tc>
          <w:tcPr>
            <w:tcW w:w="2850" w:type="dxa"/>
          </w:tcPr>
          <w:p>
            <w:pPr>
              <w:spacing w:before="0" w:after="30"/>
            </w:pPr>
            <w:r>
              <w:rPr/>
              <w:t xml:space="preserve">≥18 дБ, 422–8448 кГц</w:t>
            </w:r>
          </w:p>
        </w:tc>
        <w:tc>
          <w:tcPr>
            <w:tcW w:w="2850" w:type="dxa"/>
          </w:tcPr>
          <w:p>
            <w:pPr>
              <w:spacing w:before="0" w:after="30"/>
            </w:pPr>
            <w:r>
              <w:rPr/>
              <w:t xml:space="preserve">≥18 дБ, 1720–34 368 кГц</w:t>
            </w:r>
          </w:p>
        </w:tc>
      </w:tr>
      <w:tr>
        <w:tc>
          <w:tcPr>
            <w:tcW w:w="2200" w:type="dxa"/>
          </w:tcPr>
          <w:p>
            <w:pPr>
              <w:spacing w:before="0" w:after="30"/>
            </w:pPr>
            <w:r>
              <w:rPr/>
              <w:t xml:space="preserve">Допустимое затухание кабеля</w:t>
            </w:r>
          </w:p>
        </w:tc>
        <w:tc>
          <w:tcPr>
            <w:tcW w:w="2850" w:type="dxa"/>
          </w:tcPr>
          <w:p>
            <w:pPr>
              <w:spacing w:before="0" w:after="30"/>
            </w:pPr>
            <w:r>
              <w:rPr/>
              <w:t xml:space="preserve">до 6 дБ на 4224 кГц</w:t>
            </w:r>
          </w:p>
        </w:tc>
        <w:tc>
          <w:tcPr>
            <w:tcW w:w="2850" w:type="dxa"/>
          </w:tcPr>
          <w:p>
            <w:pPr>
              <w:spacing w:before="0" w:after="30"/>
            </w:pPr>
            <w:r>
              <w:rPr/>
              <w:t xml:space="preserve">до 12 дБ на 17 184 кГц</w:t>
            </w:r>
          </w:p>
        </w:tc>
      </w:tr>
    </w:tbl>
    <w:p>
      <w:pPr>
        <w:spacing w:before="0" w:after="80"/>
      </w:pPr>
      <w:r>
        <w:rPr/>
        <w:t xml:space="preserve">3.2.1 Каждый порт должен иметь трансформаторную гальваническую развязку и импульсную защиту.</w:t>
      </w:r>
    </w:p>
    <w:p>
      <w:pPr>
        <w:spacing w:before="0" w:after="80"/>
      </w:pPr>
      <w:r>
        <w:rPr/>
        <w:t xml:space="preserve">3.2.2 Структура E2 должна соответствовать G.704, структура E3 — G.751; электрические параметры должны соответствовать G.703.</w:t>
      </w:r>
    </w:p>
    <w:p>
      <w:pPr>
        <w:spacing w:before="0" w:after="80"/>
      </w:pPr>
      <w:r>
        <w:rPr/>
        <w:t xml:space="preserve">3.2.3 Проверка требований 3.2: измерения формы и амплитуды импульсов по G.703, возвратных потерь 75 Ом, скорости, кода и допустимого затухания. Необходимые средства измерений, погрешности, условия и методики — [уточнить].</w:t>
      </w:r>
    </w:p>
    <w:p>
      <w:pPr>
        <w:pStyle w:val="Heading2"/>
        <w:spacing w:before="180" w:after="100"/>
        <w:keepNext/>
      </w:pPr>
      <w:r>
        <w:rPr>
          <w:b/>
        </w:rPr>
        <w:t xml:space="preserve">3.3 Пакетная передача, синхронизация, диагностика, стойкость и надёжность</w:t>
      </w:r>
    </w:p>
    <w:p>
      <w:pPr>
        <w:spacing w:before="0" w:after="80"/>
      </w:pPr>
      <w:r>
        <w:rPr/>
        <w:t xml:space="preserve">3.3.1 Для E3 должна применяться SAToP по RFC 4553: передача полного потока с управляющим словом и контролем последовательности. Для E2 должна применяться E2oP на архитектуре SAToP: передача полного потока с минимальной фиксированной задержкой.</w:t>
      </w:r>
    </w:p>
    <w:p>
      <w:pPr>
        <w:spacing w:before="0" w:after="80"/>
      </w:pPr>
      <w:r>
        <w:rPr/>
        <w:t xml:space="preserve">3.3.2 Fabric — 10GbE; QoS — Strict Priority. Джиттер-буфер каждого сервиса должен иметь диапазон 1–64 мс. Потеря пакетов или авария сети должна вызывать непрерывный AIS на выходе.</w:t>
      </w:r>
    </w:p>
    <w:p>
      <w:pPr>
        <w:spacing w:before="0" w:after="80"/>
      </w:pPr>
      <w:r>
        <w:rPr/>
        <w:t xml:space="preserve">3.3.3 Должны быть обеспечены пересчёт TCLK 19,44 МГц в 8,448/34,368 МГц, ACR/DCR, Holdover и Loop timing. Частота любого входного порта должна выдаваться в RX_CLK; ПЛИС/DPLL базовой платы должна преобразовывать её в 19,44 МГц для TCLK. Джиттер/вандер — G.823.</w:t>
      </w:r>
    </w:p>
    <w:p>
      <w:pPr>
        <w:spacing w:before="0" w:after="80"/>
      </w:pPr>
      <w:r>
        <w:rPr/>
        <w:t xml:space="preserve">3.3.4 Должен выполняться контроль LOS, AIS, BPV/CV HDB3, переполнения и опустошения буфера. Для каждого порта должны быть предусмотрены Local Line, Payload и Packet Loopback, а также генератор/анализатор PRBS 2^23−1 для измерения BER.</w:t>
      </w:r>
    </w:p>
    <w:p>
      <w:pPr>
        <w:spacing w:before="0" w:after="80"/>
      </w:pPr>
      <w:r>
        <w:rPr/>
        <w:t xml:space="preserve">3.3.5 Мощность субплаты — не более 15 Вт; мощность сборки — не более 35 Вт.</w:t>
      </w:r>
    </w:p>
    <w:p>
      <w:pPr>
        <w:spacing w:before="0" w:after="80"/>
      </w:pPr>
      <w:r>
        <w:rPr/>
        <w:t xml:space="preserve">3.3.6 Стойкость должна соответствовать ГОСТ РВ 20.39.304-98: группы 1.1, 1.3, 1.4.1, исполнение «О»; рабочая температура −10…+50 °C, предельная температура −40…+65 °C, синусоидальная вибрация 5g, удары 15g. Радиопомехи — группа 1.1.1 ГОСТ В 25803-91.</w:t>
      </w:r>
    </w:p>
    <w:p>
      <w:pPr>
        <w:spacing w:before="0" w:after="80"/>
      </w:pPr>
      <w:r>
        <w:rPr/>
        <w:t xml:space="preserve">3.3.7 MTBF — не менее 15 000 ч. Назначенный срок службы — не менее 5 лет.</w:t>
      </w:r>
    </w:p>
    <w:p>
      <w:pPr>
        <w:spacing w:before="0" w:after="80"/>
      </w:pPr>
      <w:r>
        <w:rPr/>
        <w:t xml:space="preserve">3.3.8 Проверка требований 3.3.1–3.3.4: демонстрация и испытание потоков E2/E3, пакетной передачи, диапазона джиттер-буфера, источников и переключений тактирования, диагностик, петель и PRBS. При имитации потери пакетов или аварии сети наблюдаемым результатом должен быть непрерывный AIS на выходе. Условия, стимулы, оборудование и критерий подтверждения «минимальной фиксированной задержки» — [уточнить].</w:t>
      </w:r>
    </w:p>
    <w:p>
      <w:pPr>
        <w:spacing w:before="0" w:after="80"/>
      </w:pPr>
      <w:r>
        <w:rPr/>
        <w:t xml:space="preserve">3.3.9 Проверка требований 3.3.5–3.3.7: измерение мощности, испытания по указанным внешним воздействиям и оценка показателей надёжности. Метод подтверждения MTBF, назначенного срока службы, условия измерений мощности и программа испытаний — [уточнить].</w:t>
      </w:r>
    </w:p>
    <w:p>
      <w:pPr>
        <w:pStyle w:val="Heading1"/>
        <w:spacing w:before="180" w:after="100"/>
        <w:keepNext/>
      </w:pPr>
      <w:r>
        <w:rPr>
          <w:b/>
        </w:rPr>
        <w:t xml:space="preserve">4. Технико-экономические требования</w:t>
      </w:r>
    </w:p>
    <w:p>
      <w:pPr>
        <w:spacing w:before="0" w:after="80"/>
      </w:pPr>
      <w:r>
        <w:rPr/>
        <w:t xml:space="preserve">4.1 Технико-экономические требования не предъявляются.</w:t>
      </w:r>
    </w:p>
    <w:p>
      <w:pPr>
        <w:pStyle w:val="Heading1"/>
        <w:spacing w:before="180" w:after="100"/>
        <w:keepNext/>
      </w:pPr>
      <w:r>
        <w:rPr>
          <w:b/>
        </w:rPr>
        <w:t xml:space="preserve">5. Требования к видам обеспечения</w:t>
      </w:r>
    </w:p>
    <w:p>
      <w:pPr>
        <w:pStyle w:val="Heading2"/>
        <w:spacing w:before="180" w:after="100"/>
        <w:keepNext/>
      </w:pPr>
      <w:r>
        <w:rPr>
          <w:b/>
        </w:rPr>
        <w:t xml:space="preserve">5.1 Нормативное обеспечение</w:t>
      </w:r>
    </w:p>
    <w:p>
      <w:pPr>
        <w:spacing w:before="0" w:after="80"/>
      </w:pPr>
      <w:r>
        <w:rPr/>
        <w:t xml:space="preserve">5.1.1 При разработке должны применяться документы, приведённые в перечне применимых нормативных и справочных документов настоящего ТЗ.</w:t>
      </w:r>
    </w:p>
    <w:p>
      <w:pPr>
        <w:pStyle w:val="Heading2"/>
        <w:spacing w:before="180" w:after="100"/>
        <w:keepNext/>
      </w:pPr>
      <w:r>
        <w:rPr>
          <w:b/>
        </w:rPr>
        <w:t xml:space="preserve">5.2 Метрологическое обеспечение</w:t>
      </w:r>
    </w:p>
    <w:p>
      <w:pPr>
        <w:spacing w:before="0" w:after="80"/>
      </w:pPr>
      <w:r>
        <w:rPr/>
        <w:t xml:space="preserve">5.2.1 Должны быть предусмотрены средства и методики измерения формы и амплитуды импульсов по G.703, возвратных потерь 75 Ом, джиттера по G.823 и BER. Незаданные допуски не устанавливаются.</w:t>
      </w:r>
    </w:p>
    <w:p>
      <w:pPr>
        <w:spacing w:before="0" w:after="80"/>
      </w:pPr>
      <w:r>
        <w:rPr/>
        <w:t xml:space="preserve">5.2.2 Проверка: инспекция состава средств и методик; подтверждается наличие средств и методик для указанных измерений. Перечень средств, методики и условия — [уточнить].</w:t>
      </w:r>
    </w:p>
    <w:p>
      <w:pPr>
        <w:pStyle w:val="Heading2"/>
        <w:spacing w:before="180" w:after="100"/>
        <w:keepNext/>
      </w:pPr>
      <w:r>
        <w:rPr>
          <w:b/>
        </w:rPr>
        <w:t xml:space="preserve">5.3 Диагностическое обеспечение</w:t>
      </w:r>
    </w:p>
    <w:p>
      <w:pPr>
        <w:spacing w:before="0" w:after="80"/>
      </w:pPr>
      <w:r>
        <w:rPr/>
        <w:t xml:space="preserve">5.3.1 Должны быть предусмотрены регистрация LOS/AIS и BPV, формирование сообщений и отчётов для РМО.</w:t>
      </w:r>
    </w:p>
    <w:p>
      <w:pPr>
        <w:spacing w:before="0" w:after="80"/>
      </w:pPr>
      <w:r>
        <w:rPr/>
        <w:t xml:space="preserve">5.3.2 Проверка: демонстрация регистрации диагностических событий и формирования сообщений и отчётов для РМО. Форматы сообщений и отчётов — [уточнить].</w:t>
      </w:r>
    </w:p>
    <w:p>
      <w:pPr>
        <w:pStyle w:val="Heading2"/>
        <w:spacing w:before="180" w:after="100"/>
        <w:keepNext/>
      </w:pPr>
      <w:r>
        <w:rPr>
          <w:b/>
        </w:rPr>
        <w:t xml:space="preserve">5.4 Программное обеспечение</w:t>
      </w:r>
    </w:p>
    <w:p>
      <w:pPr>
        <w:spacing w:before="0" w:after="80"/>
      </w:pPr>
      <w:r>
        <w:rPr/>
        <w:t xml:space="preserve">5.4.1 Должны быть разработаны bitstream функционального модуля для Flash базовой платы, драйверы Linux и MIB для РМО.</w:t>
      </w:r>
    </w:p>
    <w:p>
      <w:pPr>
        <w:spacing w:before="0" w:after="80"/>
      </w:pPr>
      <w:r>
        <w:rPr/>
        <w:t xml:space="preserve">5.4.2 Проверка: инспекция программной документации и демонстрация загрузки bitstream, работы драйверов Linux и MIB для РМО. Версии Linux, состав MIB и состав программной документации — [уточнить].</w:t>
      </w:r>
    </w:p>
    <w:p>
      <w:pPr>
        <w:pStyle w:val="Heading1"/>
        <w:spacing w:before="180" w:after="100"/>
        <w:keepNext/>
      </w:pPr>
      <w:r>
        <w:rPr>
          <w:b/>
        </w:rPr>
        <w:t xml:space="preserve">6. Требования к сырью, материалам и комплектующим изделиям</w:t>
      </w:r>
    </w:p>
    <w:p>
      <w:pPr>
        <w:spacing w:before="0" w:after="80"/>
      </w:pPr>
      <w:r>
        <w:rPr/>
        <w:t xml:space="preserve">6.1 Должен быть обеспечен приоритет отечественных материалов и комплектующих изделий с приёмкой ОТК. При отсутствии аналогов разрешается применение импортной ЭКБ промышленного температурного диапазона.</w:t>
      </w:r>
    </w:p>
    <w:p>
      <w:pPr>
        <w:spacing w:before="0" w:after="80"/>
      </w:pPr>
      <w:r>
        <w:rPr/>
        <w:t xml:space="preserve">6.2 Проверка: инспекция ведомостей материалов и комплектующих, документов ОТК и обоснований отсутствия отечественных аналогов при применении импортной ЭКБ. Порядок подтверждения отсутствия аналогов — [уточнить].</w:t>
      </w:r>
    </w:p>
    <w:p>
      <w:pPr>
        <w:pStyle w:val="Heading1"/>
        <w:spacing w:before="180" w:after="100"/>
        <w:keepNext/>
      </w:pPr>
      <w:r>
        <w:rPr>
          <w:b/>
        </w:rPr>
        <w:t xml:space="preserve">7. Требования к консервации, упаковке и маркировке</w:t>
      </w:r>
    </w:p>
    <w:p>
      <w:pPr>
        <w:spacing w:before="0" w:after="80"/>
      </w:pPr>
      <w:r>
        <w:rPr/>
        <w:t xml:space="preserve">7.1 На изделии должны быть нанесены децимальный номер, серийный номер, ревизия и маркировка E2-1, E2-2, E3-1.</w:t>
      </w:r>
    </w:p>
    <w:p>
      <w:pPr>
        <w:spacing w:before="0" w:after="80"/>
      </w:pPr>
      <w:r>
        <w:rPr/>
        <w:t xml:space="preserve">7.2 Должна быть предусмотрена индивидуальная тара с ESD-защитой. Хранение в заводской таре — не менее 1 года по ГОСТ 15150. Условия консервации — [уточнить].</w:t>
      </w:r>
    </w:p>
    <w:p>
      <w:pPr>
        <w:spacing w:before="0" w:after="80"/>
      </w:pPr>
      <w:r>
        <w:rPr/>
        <w:t xml:space="preserve">7.3 Проверка: осмотр маркировки и упаковки, анализ требований к хранению. Конкретные условия хранения по ГОСТ 15150 и методы консервации — [уточнить].</w:t>
      </w:r>
    </w:p>
    <w:p>
      <w:pPr>
        <w:pStyle w:val="Heading1"/>
        <w:spacing w:before="180" w:after="100"/>
        <w:keepNext/>
      </w:pPr>
      <w:r>
        <w:rPr>
          <w:b/>
        </w:rPr>
        <w:t xml:space="preserve">8. Специальные требования</w:t>
      </w:r>
    </w:p>
    <w:p>
      <w:pPr>
        <w:spacing w:before="0" w:after="80"/>
      </w:pPr>
      <w:r>
        <w:rPr/>
        <w:t xml:space="preserve">8.1 Телеметрия РМО (C++/Qt) должна обеспечивать мнемосхему портов, отображение LOS/AIS, BPV, SAToP/E2oP и источника тактирования.</w:t>
      </w:r>
    </w:p>
    <w:p>
      <w:pPr>
        <w:spacing w:before="0" w:after="80"/>
      </w:pPr>
      <w:r>
        <w:rPr/>
        <w:t xml:space="preserve">8.2 Должны быть предусмотрены команды включения/отключения передатчиков, настройки джиттер-буфера, управления петлями и PRBS.</w:t>
      </w:r>
    </w:p>
    <w:p>
      <w:pPr>
        <w:spacing w:before="0" w:after="80"/>
      </w:pPr>
      <w:r>
        <w:rPr/>
        <w:t xml:space="preserve">8.3 Проверка: демонстрация телеметрии и команд РМО. Подлежат наблюдению мнемосхема портов, указанные диагностические признаки, статусы SAToP/E2oP и источника тактирования, а также выполнение команд. Интерфейс взаимодействия РМО с изделием, права доступа и формат команд — [уточнить].</w:t>
      </w:r>
    </w:p>
    <w:p>
      <w:pPr>
        <w:spacing w:before="0" w:after="160"/>
      </w:pPr>
      <w:r>
        <w:rPr/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spacing w:before="0" w:after="30"/>
            </w:pPr>
            <w:r>
              <w:rPr/>
              <w:t xml:space="preserve">РАЗРАБОТАЛ
ООО «тушканчик»
Должность: [уточнить]
Подпись: ____________
ФИО: [уточнить]
Дата: [уточнить]</w:t>
            </w:r>
          </w:p>
        </w:tc>
      </w:tr>
      <w:tr>
        <w:tc>
          <w:tcPr>
            <w:tcW w:w="4000" w:type="dxa"/>
          </w:tcPr>
          <w:p>
            <w:pPr>
              <w:spacing w:before="0" w:after="30"/>
            </w:pPr>
            <w:r>
              <w:rPr/>
              <w:t xml:space="preserve">СОГЛАСОВАНО
Должность: [уточнить]
Подпись: ____________
ФИО: [уточнить]
Дата: [уточнить]</w:t>
            </w:r>
          </w:p>
        </w:tc>
      </w:tr>
    </w:tbl>
    <w:sectPr>
      <w:pgSz w:w="11906" w:h="16838"/>
      <w:pgMar w:top="900" w:right="900" w:bottom="900" w:left="1100" w:header="450" w:footer="450"/>
      <w:headerReference w:type="default" r:id="rId2"/>
      <w:pgNumType w:start="1"/>
    </w:sectPr>
  </w:body>
</w:document>
</file>

<file path=word/header1.xml><?xml version="1.0" encoding="utf-8"?>
<w:hdr xmlns:w="http://schemas.openxmlformats.org/wordprocessingml/2006/main">
  <w:p>
    <w:pPr>
      <w:jc w:val="right"/>
    </w:pPr>
    <w:fldSimple w:instr="PAGE"/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szCs w:val="22"/>
      </w:rPr>
    </w:rPrDefault>
  </w:docDefaults>
  <w:style w:type="paragraph" w:default="1" w:styleId="Normal">
    <w:name w:val="Normal"/>
    <w:qFormat/>
    <w:pPr>
      <w:jc w:val="both"/>
    </w:pPr>
  </w:style>
  <w:style w:type="paragraph" w:styleId="Heading1">
    <w:name w:val="Heading 1"/>
    <w:basedOn w:val="Normal"/>
    <w:rPr>
      <w:b/>
      <w:sz w:val="26"/>
    </w:rPr>
  </w:style>
  <w:style w:type="paragraph" w:styleId="Heading2">
    <w:name w:val="Heading 2"/>
    <w:basedOn w:val="Normal"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— Развитие-ТСА</dc:title>
  <dc:language>ru-RU</dc:language>
  <dc:creator>ООО «тушканчик»</dc:creator>
</cp:coreProperties>
</file>