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  <w:jc w:val="right"/>
      </w:pPr>
      <w:r>
        <w:t xml:space="preserve">УТВЕРЖДАЮ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Организация, должность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[уточнить]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ФИО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[уточнить]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Подпись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[уточнить]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Дата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[уточнить]</w:t>
            </w:r>
          </w:p>
        </w:tc>
      </w:tr>
    </w:tbl>
    <w:p>
      <w:pPr>
        <w:pStyle w:val="Normal"/>
        <w:jc w:val="right"/>
      </w:pPr>
      <w:r>
        <w:t xml:space="preserve">СОГЛАСОВАНО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Организация, должность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[уточнить]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ФИО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[уточнить]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Подпись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[уточнить]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Дата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[уточнить]</w:t>
            </w:r>
          </w:p>
        </w:tc>
      </w:tr>
    </w:tbl>
    <w:p>
      <w:pPr>
        <w:pStyle w:val="Normal"/>
        <w:jc w:val="center"/>
      </w:pPr>
      <w:r>
        <w:t xml:space="preserve">ТЕХНИЧЕСКОЕ ЗАДАНИЕ</w:t>
      </w:r>
    </w:p>
    <w:p>
      <w:pPr>
        <w:pStyle w:val="Title"/>
        <w:jc w:val="center"/>
      </w:pPr>
      <w:r>
        <w:t xml:space="preserve">на опытно-конструкторскую работу
«Развитие-ТСА»</w:t>
      </w:r>
    </w:p>
    <w:p>
      <w:pPr>
        <w:pStyle w:val="Normal"/>
        <w:jc w:val="center"/>
      </w:pPr>
      <w:r>
        <w:t xml:space="preserve">Универсальная базовая цифровая плата интерфейсных мезонинных модулей AMC для ДММП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Шифр ОКР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«Развитие-ТСА»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Основание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Приказ об открытии инициативной ОКР № [уточнить] от [уточнить]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Исполнитель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[организация-исполнитель]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Срок выполнения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По утверждённому плану-графику РКД, ПО, изготовления образцов и испытаний; даты не определены</w:t>
            </w:r>
          </w:p>
        </w:tc>
      </w:tr>
    </w:tbl>
    <w:p>
      <w:pPr>
        <w:pStyle w:val="Normal"/>
      </w:pPr>
      <w:r>
        <w:t xml:space="preserve">Документ подготовлен по исходным требованиям. Поля, для которых исходные данные отсутствуют, помечены [уточнить].</w:t>
      </w:r>
    </w:p>
    <w:p>
      <w:r>
        <w:br w:type="page"/>
      </w:r>
    </w:p>
    <w:p>
      <w:pPr>
        <w:pStyle w:val="Heading1"/>
      </w:pPr>
      <w:r>
        <w:t xml:space="preserve">1. Наименование, шифр, основание, исполнители и сроки ОКР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 xml:space="preserve">Реквизит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Наименование разработки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Универсальная базовая цифровая плата интерфейсных мезонинных модулей AMC для ДММП.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Шифр ОКР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«Развитие-ТСА».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Основание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Приказ об открытии инициативной ОКР № [уточнить] от [уточнить].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Исполнитель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[организация-исполнитель].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Сроки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По утверждённому плану-графику РКД, ПО, изготовления образцов и испытаний; календарные даты не определены.</w:t>
            </w:r>
          </w:p>
        </w:tc>
      </w:tr>
    </w:tbl>
    <w:p>
      <w:pPr>
        <w:pStyle w:val="Heading1"/>
      </w:pPr>
      <w:r>
        <w:t xml:space="preserve">2. Назначение и область применения</w:t>
      </w:r>
    </w:p>
    <w:p>
      <w:pPr>
        <w:pStyle w:val="Normal"/>
      </w:pPr>
      <w:r>
        <w:t xml:space="preserve">Разработка предназначена для создания универсальной базовой цифровой платы AMC семейства ДММП для субплат E1, STM-1, C37.94, RS-485 и E2/E3.</w:t>
      </w:r>
    </w:p>
    <w:p>
      <w:pPr>
        <w:pStyle w:val="Normal"/>
      </w:pPr>
      <w:r>
        <w:t xml:space="preserve">Плата должна обеспечивать обработку сигналов, их инкапсуляцию в Ethernet и сопряжение с Carrier в шасси 3U, 6U и 14U.</w:t>
      </w:r>
    </w:p>
    <w:p>
      <w:pPr>
        <w:pStyle w:val="Normal"/>
      </w:pPr>
      <w:r>
        <w:t xml:space="preserve">Конструкция должна быть двухплатной: «универсальная цифровая базовая плата + Front-End Daughterboard через B2B». На субплате размещаются специализированные PHY/LIU/RS-485, изоляция, защита, лицевые разъёмы и Board ID EEPROM. На базовой плате размещаются вычислительные, сетевые, тактовые и служебные узлы. Базовая плата вместе с субплатой образует законченный AMC-модуль.</w:t>
      </w:r>
    </w:p>
    <w:p>
      <w:pPr>
        <w:pStyle w:val="Heading1"/>
      </w:pPr>
      <w:r>
        <w:t xml:space="preserve">3. Технические требования</w:t>
      </w:r>
    </w:p>
    <w:p>
      <w:pPr>
        <w:pStyle w:val="Heading2"/>
      </w:pPr>
      <w:r>
        <w:t xml:space="preserve">3.1. Состав и B2B</w:t>
      </w:r>
    </w:p>
    <w:p>
      <w:pPr>
        <w:pStyle w:val="Normal"/>
      </w:pPr>
      <w:r>
        <w:t xml:space="preserve">1. В составе платы предусмотреть ПЛИС/SoC. Допустимы Zynq-7000, Kintex-7, Ultrascale+ либо аналог; обязательный выбор семейства не задан.</w:t>
      </w:r>
    </w:p>
    <w:p>
      <w:pPr>
        <w:pStyle w:val="Normal"/>
      </w:pPr>
      <w:r>
        <w:t xml:space="preserve">2. Предусмотреть DDR3/DDR4 объёмом не менее 1 Гбайт.</w:t>
      </w:r>
    </w:p>
    <w:p>
      <w:pPr>
        <w:pStyle w:val="Normal"/>
      </w:pPr>
      <w:r>
        <w:t xml:space="preserve">3. Предусмотреть Flash объёмом не менее 128 Мбайт с Multi-Boot и защищённым Golden Image.</w:t>
      </w:r>
    </w:p>
    <w:p>
      <w:pPr>
        <w:pStyle w:val="Normal"/>
      </w:pPr>
      <w:r>
        <w:t xml:space="preserve">4. MMC питать от дежурных +3,3 В; основную часть платы — от +12 В через DC/DC.</w:t>
      </w:r>
    </w:p>
    <w:p>
      <w:pPr>
        <w:pStyle w:val="Normal"/>
      </w:pPr>
      <w:r>
        <w:t xml:space="preserve">5. Предусмотреть AMC Card Edge и B2B.</w:t>
      </w:r>
    </w:p>
    <w:p>
      <w:pPr>
        <w:pStyle w:val="Normal"/>
      </w:pPr>
      <w:r>
        <w:t xml:space="preserve">6. B2B должен содержать экранированные дифференциальные пары с импедансом 100 Ом; не менее 6 LVDS/SerDes пар со скоростью до 3,125–6,25 Гбит/с; не менее 32 GPIO/TDM; дифференциальные TX_CLK/RX_CLK; независимый I2C для EEPROM и термодатчиков; защищённые +12 В, +3,3 В и +1,8 В.</w:t>
      </w:r>
    </w:p>
    <w:p>
      <w:pPr>
        <w:pStyle w:val="Normal"/>
      </w:pPr>
      <w:r>
        <w:t xml:space="preserve">7. VCCO банков ПЛИС задаётся субплатой (1,8/3,3 В) либо применяются двунаправленные согласователи уровней.</w:t>
      </w:r>
    </w:p>
    <w:p>
      <w:pPr>
        <w:pStyle w:val="Heading2"/>
      </w:pPr>
      <w:r>
        <w:t xml:space="preserve">3.2. Загрузка, управление и сеть</w:t>
      </w:r>
    </w:p>
    <w:p>
      <w:pPr>
        <w:pStyle w:val="Normal"/>
      </w:pPr>
      <w:r>
        <w:t xml:space="preserve">1. I2C EEPROM субплаты должен хранить Board ID, ревизию и калибровки.</w:t>
      </w:r>
    </w:p>
    <w:p>
      <w:pPr>
        <w:pStyle w:val="Normal"/>
      </w:pPr>
      <w:r>
        <w:t xml:space="preserve">2. При дежурном питании MMC либо первичный загрузчик должен считывать Board ID и автоматически выбирать bitstream нужного интерфейса.</w:t>
      </w:r>
    </w:p>
    <w:p>
      <w:pPr>
        <w:pStyle w:val="Normal"/>
      </w:pPr>
      <w:r>
        <w:t xml:space="preserve">3. Должны быть реализованы Multi-Boot и защищённый от перезаписи Golden Image. При сбое загрузки, CRC32 или ошибке прошивки должен выполняться автоматический fallback, запуск Base 1GbE и диагностика в РМО.</w:t>
      </w:r>
    </w:p>
    <w:p>
      <w:pPr>
        <w:pStyle w:val="Normal"/>
      </w:pPr>
      <w:r>
        <w:t xml:space="preserve">4. MMC должна работать независимо от ПЛИС и +12 В; сбой или обновление ПЛИС не должны нарушать управление.</w:t>
      </w:r>
    </w:p>
    <w:p>
      <w:pPr>
        <w:pStyle w:val="Normal"/>
      </w:pPr>
      <w:r>
        <w:t xml:space="preserve">5. Предусмотреть состояния M0–M7, IPMB-L к IPMC Carrier, динамический FRU по типу субплаты, E-Keying и индикатор Hot-Swap.</w:t>
      </w:r>
    </w:p>
    <w:p>
      <w:pPr>
        <w:pStyle w:val="Normal"/>
      </w:pPr>
      <w:r>
        <w:t xml:space="preserve">6. Интерфейс Fabric должен обеспечивать пользовательский 10GbE 10GBASE-KR/XFI со Strict Priority QoS.</w:t>
      </w:r>
    </w:p>
    <w:p>
      <w:pPr>
        <w:pStyle w:val="Normal"/>
      </w:pPr>
      <w:r>
        <w:t xml:space="preserve">7. Интерфейс Base должен обеспечивать управление, мониторинг и обновление по 1GbE 1000BASE-BX/SGMII.</w:t>
      </w:r>
    </w:p>
    <w:p>
      <w:pPr>
        <w:pStyle w:val="Normal"/>
      </w:pPr>
      <w:r>
        <w:t xml:space="preserve">8. Передатчики обоих каналов должны включаться только после успешного E-Keying.</w:t>
      </w:r>
    </w:p>
    <w:p>
      <w:pPr>
        <w:pStyle w:val="Heading2"/>
      </w:pPr>
      <w:r>
        <w:t xml:space="preserve">3.3. Питание и синхронизация</w:t>
      </w:r>
    </w:p>
    <w:p>
      <w:pPr>
        <w:pStyle w:val="Normal"/>
      </w:pPr>
      <w:r>
        <w:t xml:space="preserve">1. От Carrier должны поступать дежурные +3,3 В и силовые +12 В.</w:t>
      </w:r>
    </w:p>
    <w:p>
      <w:pPr>
        <w:pStyle w:val="Normal"/>
      </w:pPr>
      <w:r>
        <w:t xml:space="preserve">2. Потребляемая мощность базовой платы должна быть не более 40 Вт; сборки с субплатой — не более 60 Вт штатно и не более 80 Вт пиково.</w:t>
      </w:r>
    </w:p>
    <w:p>
      <w:pPr>
        <w:pStyle w:val="Normal"/>
      </w:pPr>
      <w:r>
        <w:t xml:space="preserve">3. При размыкании ручки Hot-Swap (PS1#) аппаратно снимать +12 В не позднее 100 мкс.</w:t>
      </w:r>
    </w:p>
    <w:p>
      <w:pPr>
        <w:pStyle w:val="Normal"/>
      </w:pPr>
      <w:r>
        <w:t xml:space="preserve">4. Принимать TCLKA/TCLKC от Carrier и распределять их на ПЛИС и субплату.</w:t>
      </w:r>
    </w:p>
    <w:p>
      <w:pPr>
        <w:pStyle w:val="Normal"/>
      </w:pPr>
      <w:r>
        <w:t xml:space="preserve">5. Восстановленную частоту от субплаты выдавать через управляемый буфер в выделенный TCLK Carrier.</w:t>
      </w:r>
    </w:p>
    <w:p>
      <w:pPr>
        <w:pStyle w:val="Normal"/>
      </w:pPr>
      <w:r>
        <w:t xml:space="preserve">6. Генератор SerDes 10GbE должен иметь частоту 156,25 МГц и RMS фазовый джиттер не более 300 фс в полосе 12 кГц…20 МГц.</w:t>
      </w:r>
    </w:p>
    <w:p>
      <w:pPr>
        <w:pStyle w:val="Heading2"/>
      </w:pPr>
      <w:r>
        <w:t xml:space="preserve">3.4. Конструкция, стойкость и надёжность</w:t>
      </w:r>
    </w:p>
    <w:p>
      <w:pPr>
        <w:pStyle w:val="Normal"/>
      </w:pPr>
      <w:r>
        <w:t xml:space="preserve">1. Исполнение — Single Full-size AMC.0: 73,5 × 180,6 мм; высота не более 28,95 мм.</w:t>
      </w:r>
    </w:p>
    <w:p>
      <w:pPr>
        <w:pStyle w:val="Normal"/>
      </w:pPr>
      <w:r>
        <w:t xml:space="preserve">2. Предусмотреть 4–6 металлических стоек М2,5.</w:t>
      </w:r>
    </w:p>
    <w:p>
      <w:pPr>
        <w:pStyle w:val="Normal"/>
      </w:pPr>
      <w:r>
        <w:t xml:space="preserve">3. Предусмотреть фрезерованный алюминиевый лонжерон-теплоотвод с оребрением под принудительный обдув. Лонжерон должен отводить тепло ПЛИС/DC/DC и обеспечивать жёсткость.</w:t>
      </w:r>
    </w:p>
    <w:p>
      <w:pPr>
        <w:pStyle w:val="Normal"/>
      </w:pPr>
      <w:r>
        <w:t xml:space="preserve">4. Лицевая панель должна крепиться к обеим платам и лонжерону.</w:t>
      </w:r>
    </w:p>
    <w:p>
      <w:pPr>
        <w:pStyle w:val="Normal"/>
      </w:pPr>
      <w:r>
        <w:t xml:space="preserve">5. Предусмотреть дополнительную винтовую фиксацию к Carrier, предотвращающую микроперемещения Card Edge и ложное размыкание PS1#.</w:t>
      </w:r>
    </w:p>
    <w:p>
      <w:pPr>
        <w:pStyle w:val="Normal"/>
      </w:pPr>
      <w:r>
        <w:t xml:space="preserve">6. По ГОСТ РВ 20.39.304-98: группы 1.1, 1.3, 1.4.1, исполнение «О».</w:t>
      </w:r>
    </w:p>
    <w:p>
      <w:pPr>
        <w:pStyle w:val="Normal"/>
      </w:pPr>
      <w:r>
        <w:t xml:space="preserve">7. Рабочая температура: −10…+50 °C; предельная температура: −40…+65 °C.</w:t>
      </w:r>
    </w:p>
    <w:p>
      <w:pPr>
        <w:pStyle w:val="Normal"/>
      </w:pPr>
      <w:r>
        <w:t xml:space="preserve">8. Вибрация: 5–500 Гц до 50 м/с² (5g).</w:t>
      </w:r>
    </w:p>
    <w:p>
      <w:pPr>
        <w:pStyle w:val="Normal"/>
      </w:pPr>
      <w:r>
        <w:t xml:space="preserve">9. Многократные удары: 150 м/с² (15g), 5–15 мс.</w:t>
      </w:r>
    </w:p>
    <w:p>
      <w:pPr>
        <w:pStyle w:val="Normal"/>
      </w:pPr>
      <w:r>
        <w:t xml:space="preserve">10. Радиопомехи: группа 1.1.1 ГОСТ В 25803-91.</w:t>
      </w:r>
    </w:p>
    <w:p>
      <w:pPr>
        <w:pStyle w:val="Normal"/>
      </w:pPr>
      <w:r>
        <w:t xml:space="preserve">11. Средняя наработка на отказ (MTBF) — не менее 15 000 ч.</w:t>
      </w:r>
    </w:p>
    <w:p>
      <w:pPr>
        <w:pStyle w:val="Normal"/>
      </w:pPr>
      <w:r>
        <w:t xml:space="preserve">12. Назначенный срок службы — не менее 20 лет.</w:t>
      </w:r>
    </w:p>
    <w:p>
      <w:pPr>
        <w:pStyle w:val="Heading1"/>
      </w:pPr>
      <w:r>
        <w:t xml:space="preserve">4. Технико-экономические требования</w:t>
      </w:r>
    </w:p>
    <w:p>
      <w:pPr>
        <w:pStyle w:val="Normal"/>
      </w:pPr>
      <w:r>
        <w:t xml:space="preserve">Требования не предъявляются.</w:t>
      </w:r>
    </w:p>
    <w:p>
      <w:pPr>
        <w:pStyle w:val="Heading1"/>
      </w:pPr>
      <w:r>
        <w:t xml:space="preserve">5. Требования к видам обеспечения</w:t>
      </w:r>
    </w:p>
    <w:p>
      <w:pPr>
        <w:pStyle w:val="Heading2"/>
      </w:pPr>
      <w:r>
        <w:t xml:space="preserve">5.1. Конструкторская документация, программное обеспечение, диагностика и контроль</w:t>
      </w:r>
    </w:p>
    <w:p>
      <w:pPr>
        <w:pStyle w:val="Normal"/>
      </w:pPr>
      <w:r>
        <w:t xml:space="preserve">1. Разработка включает РКД, базовое микропрограммное обеспечение и опытные образцы.</w:t>
      </w:r>
    </w:p>
    <w:p>
      <w:pPr>
        <w:pStyle w:val="Normal"/>
      </w:pPr>
      <w:r>
        <w:t xml:space="preserve">2. В КД определить допустимые погрешности измерений питания, тока и температуры ПЛИС, а также методики калибровки. Значения погрешностей в исходных требованиях не заданы.</w:t>
      </w:r>
    </w:p>
    <w:p>
      <w:pPr>
        <w:pStyle w:val="Normal"/>
      </w:pPr>
      <w:r>
        <w:t xml:space="preserve">3. Обеспечить непрерывную диагностику SDR, Ethernet CRC/drops и целостности прошивки с аварийными сообщениями.</w:t>
      </w:r>
    </w:p>
    <w:p>
      <w:pPr>
        <w:pStyle w:val="Normal"/>
      </w:pPr>
      <w:r>
        <w:t xml:space="preserve">4. Предусмотреть пассивную технологическую B2B-плату для автоматизированного 100% входного/выходного производственного контроля SerDes, GPIO, Clock, Power, I2C.</w:t>
      </w:r>
    </w:p>
    <w:p>
      <w:pPr>
        <w:pStyle w:val="Normal"/>
      </w:pPr>
      <w:r>
        <w:t xml:space="preserve">5. Система РМО должна через MMC и ShMC получать тип субплаты, M0–M7, ток, температуру ПЛИС и статусы «Норма»/«Предавария»/«Авария».</w:t>
      </w:r>
    </w:p>
    <w:p>
      <w:pPr>
        <w:pStyle w:val="Normal"/>
      </w:pPr>
      <w:r>
        <w:t xml:space="preserve">6. Система РМО должна поддерживать команды: безопасная подготовка к извлечению, Reset и обновление Flash.</w:t>
      </w:r>
    </w:p>
    <w:p>
      <w:pPr>
        <w:pStyle w:val="Heading2"/>
      </w:pPr>
      <w:r>
        <w:t xml:space="preserve">5.2. Нормативные документы</w:t>
      </w:r>
    </w:p>
    <w:p>
      <w:pPr>
        <w:pStyle w:val="Normal"/>
      </w:pPr>
      <w:r>
        <w:t xml:space="preserve">При разработке учесть следующие документы и обозначения (наименования документов в исходных требованиях не приведены и не дополняются):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 xml:space="preserve">Обозначение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 xml:space="preserve">Область учёта по исходным требованиям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PICMG AMC.0 R2.0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Архитектура и конструкция AMC.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AMC.2 R1.0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Интерфейсы AMC.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IPMI v2.0 revision 1.1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Управление и мониторинг.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IEEE 802.3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Ethernet.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ГОСТ РВ 20.39.304-98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Группы исполнения и стойкость.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ГОСТ В 25803-91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Радиопомехи.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ГОСТ 2.114-2016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КД.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ГОСТ РВ 15.201-2003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ОКР.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ГОСТ 15150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Хранение в заводской таре.</w:t>
            </w:r>
          </w:p>
        </w:tc>
      </w:tr>
    </w:tbl>
    <w:p>
      <w:pPr>
        <w:pStyle w:val="Heading2"/>
      </w:pPr>
      <w:r>
        <w:t xml:space="preserve">5.3. Сокращения и термины</w:t>
      </w:r>
    </w:p>
    <w:p>
      <w:pPr>
        <w:pStyle w:val="Normal"/>
      </w:pPr>
      <w:r>
        <w:t xml:space="preserve">Исходные требования предписывают раскрыть следующие обозначения: AMC, Carrier, FPGA, MMC, B2B, FRU, IPMB-L, Fabric/Base, E-Keying, Multi-Boot, Golden Image, Board ID, AXI, TDM, РМО, ЭМС, ОКР, РКД, ПМИ. Раскрытия и/или определения этих обозначений в исходном документе не приведены; их точные формулировки необходимо уточнить до выпуска окончательной редакции ТЗ. Иные обозначения сохранены в исходной форме в составе требований.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 xml:space="preserve">Обозначение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 xml:space="preserve">Раскрытие/определение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AMC; Carrier; FPGA; MMC; B2B; FRU; IPMB-L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Не приведено в исходных требованиях; [уточнить].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Fabric/Base; E-Keying; Multi-Boot; Golden Image; Board ID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Не приведено в исходных требованиях; [уточнить].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AXI; TDM; РМО; ЭМС; ОКР; РКД; ПМИ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Не приведено в исходных требованиях; [уточнить].</w:t>
            </w:r>
          </w:p>
        </w:tc>
      </w:tr>
    </w:tbl>
    <w:p>
      <w:pPr>
        <w:pStyle w:val="Heading1"/>
      </w:pPr>
      <w:r>
        <w:t xml:space="preserve">6. Требования к сырью, материалам и комплектующим</w:t>
      </w:r>
    </w:p>
    <w:p>
      <w:pPr>
        <w:pStyle w:val="Normal"/>
      </w:pPr>
      <w:r>
        <w:t xml:space="preserve">Предусмотреть приоритет отечественных материалов и компонентов. При отсутствии аналогов допускается применение импортной ЭКБ промышленного температурного диапазона.</w:t>
      </w:r>
    </w:p>
    <w:p>
      <w:pPr>
        <w:pStyle w:val="Heading1"/>
      </w:pPr>
      <w:r>
        <w:t xml:space="preserve">7. Упаковка и маркировка</w:t>
      </w:r>
    </w:p>
    <w:p>
      <w:pPr>
        <w:pStyle w:val="Normal"/>
      </w:pPr>
      <w:r>
        <w:t xml:space="preserve">1. Наносить децимальный и серийный номера, а также ревизию.</w:t>
      </w:r>
    </w:p>
    <w:p>
      <w:pPr>
        <w:pStyle w:val="Normal"/>
      </w:pPr>
      <w:r>
        <w:t xml:space="preserve">2. Применять индивидуальную тару с ESD-защитой.</w:t>
      </w:r>
    </w:p>
    <w:p>
      <w:pPr>
        <w:pStyle w:val="Normal"/>
      </w:pPr>
      <w:r>
        <w:t xml:space="preserve">3. Обеспечить хранение в заводской таре не менее 1 года по ГОСТ 15150.</w:t>
      </w:r>
    </w:p>
    <w:p>
      <w:pPr>
        <w:pStyle w:val="Normal"/>
      </w:pPr>
      <w:r>
        <w:t xml:space="preserve">4. Дополнительные условия хранения и упаковки исходными требованиями не заданы.</w:t>
      </w:r>
    </w:p>
    <w:p>
      <w:pPr>
        <w:pStyle w:val="Heading1"/>
      </w:pPr>
      <w:r>
        <w:t xml:space="preserve">8. Специальные требования</w:t>
      </w:r>
    </w:p>
    <w:p>
      <w:pPr>
        <w:pStyle w:val="Normal"/>
      </w:pPr>
      <w:r>
        <w:t xml:space="preserve">РМО (C++/Qt) через MMC и ShMC должно получать тип субплаты, состояния M0–M7, ток, температуру ПЛИС и статусы «Норма»/«Предавария»/«Авария».</w:t>
      </w:r>
    </w:p>
    <w:p>
      <w:pPr>
        <w:pStyle w:val="Normal"/>
      </w:pPr>
      <w:r>
        <w:t xml:space="preserve">РМО (C++/Qt) должно обеспечивать команды безопасной подготовки к извлечению, Reset и обновления Flash.</w:t>
      </w:r>
    </w:p>
    <w:p>
      <w:pPr>
        <w:pStyle w:val="Heading1"/>
      </w:pPr>
      <w:r>
        <w:t xml:space="preserve">9. Критерии приёмки</w:t>
      </w:r>
    </w:p>
    <w:p>
      <w:pPr>
        <w:pStyle w:val="Normal"/>
      </w:pPr>
      <w:r>
        <w:t xml:space="preserve">Приёмку выполнять по проверкам ниже. Если в исходных требованиях задан количественный или качественный критерий, он приведён без замены. Не заданные длительности, допуски и дополнительные условия испытаний не вводятся.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 xml:space="preserve">Идентификатор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 xml:space="preserve">Условие, действие и объект проверки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 xml:space="preserve">Ожидаемый результат / критерий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ПР-01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Проверить состав платы, двухплатную конструкцию, AMC Card Edge, B2B и размещение узлов на базовой плате и субплате.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Инспекция КД, демонстрация образца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Состав и границы соответствуют требованиям 2 и 3.1; базовая плата вместе с субплатой образует законченный AMC-модуль.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ПР-02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Для каждого типа субплаты E1, STM-1, C37.94, RS-485 и E2/E3 подать дежурное питание и выполнить загрузку.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Испытание, наблюдение загрузки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Board ID считывается, автоматически выбирается bitstream нужного интерфейса, запускается соответствующий интерфейс.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ПР-03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Смоделировать сбой загрузки, ошибку CRC32 и ошибку прошивки.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Испытание, наблюдение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Для каждого случая выполняются автоматический fallback, запуск Base 1GbE и диагностика в РМО; Golden Image защищён от перезаписи.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ПР-04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Нарушить работу или выполнить обновление ПЛИС при сохранённом управлении MMC.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Испытание, наблюдение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MMC работает независимо от ПЛИС и +12 В; управление не нарушается.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ПР-05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Проверить состояния M0–M7, IPMB-L к IPMC Carrier, динамический FRU по типу субплаты, E-Keying и индикатор Hot-Swap.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Инспекция, демонстрация, испытание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Все перечисленные функции присутствуют и работают; передатчики Fabric и Base включаются только после успешного E-Keying.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ПР-06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Разомкнуть ручку Hot-Swap (PS1#) и измерить время аппаратного снятия +12 В.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Измерение, испытание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+12 В аппаратно снято не позднее 100 мкс.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ПР-07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Измерить потребляемую мощность базовой платы и сборки с субплатой в штатном и пиковом режимах.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Измерение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Базовая плата — не более 40 Вт; сборка — не более 60 Вт штатно и не более 80 Вт пиково.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ПР-08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Измерить частоту генератора SerDes 10GbE и RMS фазовый джиттер в полосе 12 кГц…20 МГц.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Измерение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Частота — 156,25 МГц; RMS фазовый джиттер — не более 300 фс.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ПР-09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Проверить габариты, высоту, стойки, лонжерон-теплоотвод, крепление лицевой панели и дополнительную фиксацию к Carrier.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Инспекция КД, измерение, демонстрация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73,5 × 180,6 мм; высота не более 28,95 мм; 4–6 стоек М2,5; требования к лонжерону и фиксации выполнены.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ПР-10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Проверить стойкость по группе исполнения и заданным воздействиям, включая температуру, вибрацию, многократные удары и радиопомехи.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Испытание по применимым документам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Соответствие группам 1.1, 1.3, 1.4.1, исполнению «О» ГОСТ РВ 20.39.304-98; рабочей температуре −10…+50 °C, предельной −40…+65 °C; вибрации 5–500 Гц до 50 м/с² (5g); ударам 150 м/с² (15g), 5–15 мс; группе 1.1.1 ГОСТ В 25803-91.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ПР-11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Проверить производственный контроль через пассивную технологическую B2B-плату для SerDes, GPIO, Clock, Power и I2C.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Демонстрация, испытание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Автоматизированный входной/выходной контроль охватывает 100% перечисленных интерфейсов и сигналов.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ПР-12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Проверить непрерывную диагностику SDR, Ethernet CRC/drops и целостности прошивки с аварийными сообщениями, а также выдачу в РМО типа субплаты, M0–M7, тока, температуры ПЛИС и статусов.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Демонстрация, испытание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Перечисленные диагностические данные и аварийные сообщения доступны; РМО принимает команды безопасной подготовки к извлечению, Reset и обновления Flash.</w:t>
            </w:r>
          </w:p>
        </w:tc>
      </w:tr>
      <w:tr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ПР-13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Проверить MTBF и назначенный срок службы по подтверждающим расчётным/документальным материалам.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Анализ документации</w:t>
            </w:r>
          </w:p>
        </w:tc>
        <w:tc>
          <w:tcPr>
            <w:tcW w:w="0" w:type="auto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 xml:space="preserve">MTBF — не менее 15 000 ч; назначенный срок службы — не менее 20 лет.</w:t>
            </w:r>
          </w:p>
        </w:tc>
      </w:tr>
    </w:tbl>
    <w:p>
      <w:pPr>
        <w:pStyle w:val="Heading1"/>
      </w:pPr>
      <w:r>
        <w:t xml:space="preserve">10. Открытые вопросы</w:t>
      </w:r>
    </w:p>
    <w:p>
      <w:pPr>
        <w:pStyle w:val="Normal"/>
      </w:pPr>
      <w:r>
        <w:t xml:space="preserve">1. Выбрать конкретное семейство ПЛИС/SoC из допустимых вариантов Zynq-7000, Kintex-7, Ultrascale+ либо аналог; обязательный выбор исходными требованиями не задан.</w:t>
      </w:r>
    </w:p>
    <w:p>
      <w:pPr>
        <w:pStyle w:val="Normal"/>
      </w:pPr>
      <w:r>
        <w:t xml:space="preserve">2. Определить карту B2B и состав/формат Board ID.</w:t>
      </w:r>
    </w:p>
    <w:p>
      <w:pPr>
        <w:pStyle w:val="Normal"/>
      </w:pPr>
      <w:r>
        <w:t xml:space="preserve">3. Задать допустимые погрешности измерений питания, тока и температуры ПЛИС и методики калибровки.</w:t>
      </w:r>
    </w:p>
    <w:p>
      <w:pPr>
        <w:pStyle w:val="Normal"/>
      </w:pPr>
      <w:r>
        <w:t xml:space="preserve">4. Утвердить календарные сроки ОКР, включая РКД, ПО, изготовление образцов и испытания.</w:t>
      </w:r>
    </w:p>
    <w:p>
      <w:pPr>
        <w:pStyle w:val="Normal"/>
      </w:pPr>
      <w:r>
        <w:t xml:space="preserve">5. Заполнить отсутствующие административные реквизиты: номер и дату приказа, организацию-исполнителя, организации согласования, ФИО, подписи и даты.</w:t>
      </w:r>
    </w:p>
    <w:p>
      <w:pPr>
        <w:pStyle w:val="Normal"/>
      </w:pPr>
      <w:r>
        <w:t xml:space="preserve">6. Предоставить точные раскрытия/определения AMC, Carrier, FPGA, MMC, B2B, FRU, IPMB-L, Fabric/Base, E-Keying, Multi-Boot, Golden Image, Board ID, AXI, TDM, РМО, ЭМС, ОКР, РКД и ПМИ.</w:t>
      </w:r>
    </w:p>
    <w:sectPr>
      <w:pgSz w:w="11906" w:h="16838"/>
      <w:pgMar w:top="1134" w:right="1020" w:bottom="1020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</w:rPr>
    <w:pPr>
      <w:spacing w:after="100" w:line="276" w:lineRule="auto"/>
    </w:pPr>
  </w:style>
  <w:style w:type="paragraph" w:styleId="Title">
    <w:name w:val="Title"/>
    <w:basedOn w:val="Normal"/>
    <w:next w:val="Normal"/>
    <w:rPr>
      <w:b/>
      <w:sz w:val="32"/>
    </w:rPr>
    <w:pPr>
      <w:jc w:val="center"/>
      <w:spacing w:after="180"/>
    </w:pPr>
  </w:style>
  <w:style w:type="paragraph" w:styleId="Heading1">
    <w:name w:val="heading 1"/>
    <w:basedOn w:val="Normal"/>
    <w:next w:val="Normal"/>
    <w:rPr>
      <w:b/>
      <w:sz w:val="26"/>
    </w:rPr>
    <w:pPr>
      <w:keepNext/>
      <w:spacing w:before="180" w:after="80"/>
    </w:pPr>
  </w:style>
  <w:style w:type="paragraph" w:styleId="Heading2">
    <w:name w:val="heading 2"/>
    <w:basedOn w:val="Normal"/>
    <w:next w:val="Normal"/>
    <w:rPr>
      <w:b/>
      <w:sz w:val="23"/>
    </w:rPr>
    <w:pPr>
      <w:keepNext/>
      <w:spacing w:before="120" w:after="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