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СОГЛАСОВАНО</w:t>
      </w:r>
    </w:p>
    <w:p>
      <w:r>
        <w:t xml:space="preserve">[уточнить — организация, должность, ФИО]</w:t>
      </w:r>
    </w:p>
    <w:p>
      <w:r>
        <w:t xml:space="preserve">Подпись: [уточнить]    Дата: [уточнить]</w:t>
      </w:r>
    </w:p>
    <w:p>
      <w:pPr>
        <w:jc w:val="right"/>
      </w:pPr>
      <w:r>
        <w:rPr>
          <w:b/>
        </w:rPr>
        <w:t xml:space="preserve">УТВЕРЖДАЮ</w:t>
      </w:r>
    </w:p>
    <w:p>
      <w:pPr>
        <w:jc w:val="right"/>
      </w:pPr>
      <w:r>
        <w:t xml:space="preserve">[уточнить — организация, должность, ФИО]</w:t>
      </w:r>
    </w:p>
    <w:p>
      <w:pPr>
        <w:jc w:val="right"/>
      </w:pPr>
      <w:r>
        <w:t xml:space="preserve">Подпись: [уточнить]    Дата: [уточнить]</w:t>
      </w:r>
    </w:p>
    <w:p>
      <w:pPr>
        <w:spacing w:before="0" w:after="600"/>
      </w:pPr>
      <w:r>
        <w:t xml:space="preserve"/>
      </w:r>
    </w:p>
    <w:p>
      <w:pPr>
        <w:jc w:val="center"/>
      </w:pPr>
      <w:r>
        <w:rPr>
          <w:b/>
          <w:sz w:val="32"/>
          <w:szCs w:val="32"/>
        </w:rPr>
        <w:t xml:space="preserve">ТЕХНИЧЕСКОЕ ЗАДАНИЕ</w:t>
      </w:r>
    </w:p>
    <w:p>
      <w:pPr>
        <w:jc w:val="center"/>
      </w:pPr>
      <w:r>
        <w:rPr>
          <w:sz w:val="26"/>
          <w:szCs w:val="26"/>
        </w:rPr>
        <w:t xml:space="preserve">ОКР «Развитие-ТСА»</w:t>
      </w:r>
    </w:p>
    <w:p>
      <w:pPr>
        <w:jc w:val="center"/>
      </w:pPr>
      <w:r>
        <w:rPr>
          <w:b/>
          <w:sz w:val="28"/>
          <w:szCs w:val="28"/>
        </w:rPr>
        <w:t xml:space="preserve">«Универсальная базовая цифровая плата интерфейсных мезонинных модулей AMC для ДММП»</w:t>
      </w:r>
    </w:p>
    <w:p>
      <w:pPr>
        <w:spacing w:before="0" w:after="900"/>
      </w:pPr>
      <w:r>
        <w:t xml:space="preserve"/>
      </w:r>
    </w:p>
    <w:p>
      <w:pPr>
        <w:jc w:val="center"/>
      </w:pPr>
      <w:r>
        <w:t xml:space="preserve">Исполнитель: [организация-исполнитель]</w:t>
      </w:r>
    </w:p>
    <w:p>
      <w:pPr>
        <w:jc w:val="center"/>
      </w:pPr>
      <w:r>
        <w:t xml:space="preserve">Основание: приказ об открытии инициативной ОКР № [уточнить] от [уточнить]</w:t>
      </w:r>
    </w:p>
    <w:p>
      <w:r>
        <w:br w:type="page"/>
      </w:r>
    </w:p>
    <w:p>
      <w:pPr>
        <w:pStyle w:val="Heading1"/>
      </w:pPr>
      <w:r>
        <w:t xml:space="preserve">Перечень сокращений и терминов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00"/>
        <w:gridCol w:w="6700"/>
      </w:tblGrid>
      <w:tr>
        <w:trPr>
          <w:tblHeader/>
        </w:trPr>
        <w:tc>
          <w:tcPr>
            <w:tcW w:w="23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Сокращение / термин</w:t>
            </w:r>
          </w:p>
        </w:tc>
        <w:tc>
          <w:tcPr>
            <w:tcW w:w="67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Раскрытие / определение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AMC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Carrier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определение термина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FPGA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MMC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B2B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FRU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IPMB-L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Fabric / Base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определения терминов в исходных данных отсутствуют]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E-Keying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определение термина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Multi-Boot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определение термина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Golden Image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определение термина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Board ID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определение термина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AXI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TDM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РМО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ЭМС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ОКР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РКД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ПМИ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ПЛИС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</w:pPr>
            <w:r>
              <w:t xml:space="preserve">ЭКБ</w:t>
            </w:r>
          </w:p>
        </w:tc>
        <w:tc>
          <w:tcPr>
            <w:tcW w:w="6700" w:type="dxa"/>
          </w:tcPr>
          <w:p>
            <w:pPr>
              <w:spacing w:before="0" w:after="0"/>
            </w:pPr>
            <w:r>
              <w:t xml:space="preserve">[уточнить: раскрытие в исходных данных отсутствует]</w:t>
            </w:r>
          </w:p>
        </w:tc>
      </w:tr>
    </w:tbl>
    <w:p>
      <w:r>
        <w:rPr>
          <w:i/>
        </w:rPr>
        <w:t xml:space="preserve">Примечание — Раскрытия, отсутствующие в исходных данных, не восстановлены по внешним источникам и подлежат уточнению.</w:t>
      </w:r>
    </w:p>
    <w:p>
      <w:pPr>
        <w:pStyle w:val="Heading1"/>
      </w:pPr>
      <w:r>
        <w:t xml:space="preserve">Перечень нормативных документов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Обозначение</w:t>
            </w:r>
          </w:p>
        </w:tc>
        <w:tc>
          <w:tcPr>
            <w:tcW w:w="60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Применение в настоящем ТЗ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PICMG AMC.0 R2.0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AMC.2 R1.0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IPMI v2.0 revision 1.1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IEEE 802.3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ГОСТ РВ 20.39.304-98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ГОСТ В 25803-91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ГОСТ 2.114-2016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ГОСТ РВ 15.201-2003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</w:pPr>
            <w:r>
              <w:t xml:space="preserve">ГОСТ 15150</w:t>
            </w:r>
          </w:p>
        </w:tc>
        <w:tc>
          <w:tcPr>
            <w:tcW w:w="6000" w:type="dxa"/>
          </w:tcPr>
          <w:p>
            <w:pPr>
              <w:spacing w:before="0" w:after="0"/>
            </w:pPr>
            <w:r>
              <w:t xml:space="preserve">Учесть при разработке в пределах применимости к изделию и требованиям настоящего ТЗ.</w:t>
            </w:r>
          </w:p>
        </w:tc>
      </w:tr>
    </w:tbl>
    <w:p>
      <w:r>
        <w:rPr>
          <w:i/>
        </w:rPr>
        <w:t xml:space="preserve">Примечание — Тексты перечисленных документов не предоставлены; их наименования, редакции сверх указанных обозначений и дополнительные положения в настоящее ТЗ не внесены.</w:t>
      </w:r>
    </w:p>
    <w:p>
      <w:pPr>
        <w:pStyle w:val="Heading1"/>
      </w:pPr>
      <w:r>
        <w:t xml:space="preserve">1. Наименование, шифр, основание, исполнители и сроки ОКР</w:t>
      </w:r>
    </w:p>
    <w:p>
      <w:r>
        <w:t xml:space="preserve">1.1 Наименование разработки — универсальная базовая цифровая плата интерфейсных мезонинных модулей AMC для ДММП.</w:t>
      </w:r>
    </w:p>
    <w:p>
      <w:r>
        <w:t xml:space="preserve">1.2 Шифр ОКР — «Развитие-ТСА».</w:t>
      </w:r>
    </w:p>
    <w:p>
      <w:r>
        <w:t xml:space="preserve">1.3 Основание для выполнения — приказ об открытии инициативной ОКР № [уточнить] от [уточнить].</w:t>
      </w:r>
    </w:p>
    <w:p>
      <w:r>
        <w:t xml:space="preserve">1.4 Исполнитель — [организация-исполнитель].</w:t>
      </w:r>
    </w:p>
    <w:p>
      <w:r>
        <w:t xml:space="preserve">1.5 Срок выполнения — по утверждённому плану-графику РКД, ПО, изготовления образцов и испытаний. Календарные даты [уточнить].</w:t>
      </w:r>
    </w:p>
    <w:p>
      <w:r>
        <w:t xml:space="preserve">1.6 В состав разработки должны входить РКД, базовое микропрограммное обеспечение и опытные образцы.</w:t>
      </w:r>
    </w:p>
    <w:p>
      <w:pPr>
        <w:pStyle w:val="Heading1"/>
      </w:pPr>
      <w:r>
        <w:t xml:space="preserve">2. Назначение и область применения</w:t>
      </w:r>
    </w:p>
    <w:p>
      <w:r>
        <w:t xml:space="preserve">2.1 Изделие предназначено для обработки сигналов субплат E1, STM-1, C37.94, RS-485 и E2/E3, их инкапсуляции в Ethernet и сопряжения с Carrier в шасси 3U, 6U и 14U.</w:t>
      </w:r>
    </w:p>
    <w:p>
      <w:r>
        <w:t xml:space="preserve">2.2 Изделие должно иметь двухплатную конструкцию «универсальная цифровая базовая плата + Front-End Daughterboard через B2B».</w:t>
      </w:r>
    </w:p>
    <w:p>
      <w:r>
        <w:t xml:space="preserve">2.3 На субплате должны размещаться специализированные PHY/LIU/RS-485, изоляция, защита, лицевые разъёмы и Board ID EEPROM.</w:t>
      </w:r>
    </w:p>
    <w:p>
      <w:r>
        <w:t xml:space="preserve">2.4 На базовой плате должны размещаться вычислительные, сетевые, тактовые и служебные узлы.</w:t>
      </w:r>
    </w:p>
    <w:p>
      <w:r>
        <w:t xml:space="preserve">2.5 Базовая плата совместно с субплатой должна образовывать законченный AMC-модуль.</w:t>
      </w:r>
    </w:p>
    <w:p>
      <w:pPr>
        <w:pStyle w:val="Heading1"/>
      </w:pPr>
      <w:r>
        <w:t xml:space="preserve">3. Технические требования</w:t>
      </w:r>
    </w:p>
    <w:p>
      <w:pPr>
        <w:pStyle w:val="Heading2"/>
      </w:pPr>
      <w:r>
        <w:t xml:space="preserve">3.1 Состав и интерфейс B2B</w:t>
      </w:r>
    </w:p>
    <w:p>
      <w:r>
        <w:t xml:space="preserve">ТР-3.1.1 В качестве ПЛИС/SoC допускается применять Zynq-7000, Kintex-7, Ultrascale+ либо аналог. Обязательный выбор семейства не устанавливается.</w:t>
      </w:r>
    </w:p>
    <w:p>
      <w:r>
        <w:t xml:space="preserve">ТР-3.1.2 Объём DDR3/DDR4 должен быть не менее 1 Гбайт.</w:t>
      </w:r>
    </w:p>
    <w:p>
      <w:r>
        <w:t xml:space="preserve">ТР-3.1.3 Объём Flash должен быть не менее 128 Мбайт; Flash должна поддерживать Multi-Boot и защищённый Golden Image.</w:t>
      </w:r>
    </w:p>
    <w:p>
      <w:r>
        <w:t xml:space="preserve">ТР-3.1.4 MMC должен получать питание от дежурных +3,3 В.</w:t>
      </w:r>
    </w:p>
    <w:p>
      <w:r>
        <w:t xml:space="preserve">ТР-3.1.5 DC/DC основной части должен получать питание от +12 В.</w:t>
      </w:r>
    </w:p>
    <w:p>
      <w:r>
        <w:t xml:space="preserve">ТР-3.1.6 Базовая плата должна иметь AMC Card Edge и B2B.</w:t>
      </w:r>
    </w:p>
    <w:p>
      <w:r>
        <w:t xml:space="preserve">ТР-3.1.7 B2B должен содержать экранированные дифференциальные пары с импедансом 100 Ом.</w:t>
      </w:r>
    </w:p>
    <w:p>
      <w:r>
        <w:t xml:space="preserve">ТР-3.1.8 B2B должен содержать не менее 6 пар LVDS/SerDes со скоростью до 3,125–6,25 Гбит/с.</w:t>
      </w:r>
    </w:p>
    <w:p>
      <w:r>
        <w:t xml:space="preserve">ТР-3.1.9 B2B должен содержать не менее 32 линий GPIO/TDM.</w:t>
      </w:r>
    </w:p>
    <w:p>
      <w:r>
        <w:t xml:space="preserve">ТР-3.1.10 B2B должен содержать дифференциальные линии TX_CLK и RX_CLK.</w:t>
      </w:r>
    </w:p>
    <w:p>
      <w:r>
        <w:t xml:space="preserve">ТР-3.1.11 B2B должен содержать независимый I2C для EEPROM и термодатчиков.</w:t>
      </w:r>
    </w:p>
    <w:p>
      <w:r>
        <w:t xml:space="preserve">ТР-3.1.12 Через B2B должны передаваться защищённые +12 В, +3,3 В и +1,8 В.</w:t>
      </w:r>
    </w:p>
    <w:p>
      <w:r>
        <w:t xml:space="preserve">ТР-3.1.13 VCCO банков ПЛИС должно задаваться субплатой и составлять 1,8 В или 3,3 В либо должны использоваться двунаправленные согласователи уровней.</w:t>
      </w:r>
    </w:p>
    <w:p>
      <w:pPr>
        <w:pStyle w:val="Heading2"/>
      </w:pPr>
      <w:r>
        <w:t xml:space="preserve">3.2 Загрузка, управление и сеть</w:t>
      </w:r>
    </w:p>
    <w:p>
      <w:r>
        <w:t xml:space="preserve">ТР-3.2.1 I2C EEPROM субплаты должна хранить Board ID, ревизию и калибровки.</w:t>
      </w:r>
    </w:p>
    <w:p>
      <w:r>
        <w:t xml:space="preserve">ТР-3.2.2 При дежурном питании MMC либо первичный загрузчик должен считывать Board ID и автоматически выбирать bitstream соответствующего интерфейса.</w:t>
      </w:r>
    </w:p>
    <w:p>
      <w:r>
        <w:t xml:space="preserve">ТР-3.2.3 При сбое загрузки, ошибке CRC32 или ошибке прошивки Multi-Boot и защищённый от перезаписи Golden Image должны обеспечивать автоматический fallback, запуск Base 1GbE и диагностику в РМО.</w:t>
      </w:r>
    </w:p>
    <w:p>
      <w:r>
        <w:t xml:space="preserve">ТР-3.2.4 MMC должен работать независимо от ПЛИС и +12 В; сбой или обновление ПЛИС не должны нарушать управление.</w:t>
      </w:r>
    </w:p>
    <w:p>
      <w:r>
        <w:t xml:space="preserve">ТР-3.2.5 MMC должен поддерживать состояния M0–M7, IPMB-L к IPMC Carrier, динамический FRU по типу субплаты, E-Keying и индикатор Hot-Swap.</w:t>
      </w:r>
    </w:p>
    <w:p>
      <w:r>
        <w:t xml:space="preserve">ТР-3.2.6 Канал Fabric должен обеспечивать пользовательский 10GbE 10GBASE-KR/XFI со Strict Priority QoS.</w:t>
      </w:r>
    </w:p>
    <w:p>
      <w:r>
        <w:t xml:space="preserve">ТР-3.2.7 Канал Base должен обеспечивать управление, мониторинг и обновление по 1GbE 1000BASE-BX/SGMII.</w:t>
      </w:r>
    </w:p>
    <w:p>
      <w:r>
        <w:t xml:space="preserve">ТР-3.2.8 Передатчики Fabric и Base должны включаться только после успешного E-Keying.</w:t>
      </w:r>
    </w:p>
    <w:p>
      <w:pPr>
        <w:pStyle w:val="Heading2"/>
      </w:pPr>
      <w:r>
        <w:t xml:space="preserve">3.3 Питание и синхронизация</w:t>
      </w:r>
    </w:p>
    <w:p>
      <w:r>
        <w:t xml:space="preserve">ТР-3.3.1 От Carrier должны поступать дежурные +3,3 В и силовые +12 В.</w:t>
      </w:r>
    </w:p>
    <w:p>
      <w:r>
        <w:t xml:space="preserve">ТР-3.3.2 Потребляемая мощность базовой платы должна быть не более 40 Вт.</w:t>
      </w:r>
    </w:p>
    <w:p>
      <w:r>
        <w:t xml:space="preserve">ТР-3.3.3 Потребляемая мощность сборки с субплатой должна быть не более 60 Вт в штатном режиме и не более 80 Вт в пиковом режиме.</w:t>
      </w:r>
    </w:p>
    <w:p>
      <w:r>
        <w:t xml:space="preserve">ТР-3.3.4 При размыкании ручки Hot-Swap (PS1#) +12 В должны быть сняты аппаратно не позднее чем через 100 мкс.</w:t>
      </w:r>
    </w:p>
    <w:p>
      <w:r>
        <w:t xml:space="preserve">ТР-3.3.5 Базовая плата должна принимать TCLKA и TCLKC от Carrier и распределять их на ПЛИС и субплату.</w:t>
      </w:r>
    </w:p>
    <w:p>
      <w:r>
        <w:t xml:space="preserve">ТР-3.3.6 Восстановленная частота от субплаты должна выдаваться через управляемый буфер в выделенный TCLK Carrier.</w:t>
      </w:r>
    </w:p>
    <w:p>
      <w:r>
        <w:t xml:space="preserve">ТР-3.3.7 Частота генератора SerDes 10GbE должна составлять 156,25 МГц; RMS фазовый джиттер должен быть не более 300 фс в полосе 12 кГц…20 МГц.</w:t>
      </w:r>
    </w:p>
    <w:p>
      <w:pPr>
        <w:pStyle w:val="Heading2"/>
      </w:pPr>
      <w:r>
        <w:t xml:space="preserve">3.4 Конструкция, стойкость и надёжность</w:t>
      </w:r>
    </w:p>
    <w:p>
      <w:r>
        <w:t xml:space="preserve">ТР-3.4.1 Конструктивное исполнение — Single Full-size AMC.0, размеры 73,5 × 180,6 мм, высота не более 28,95 мм.</w:t>
      </w:r>
    </w:p>
    <w:p>
      <w:r>
        <w:t xml:space="preserve">ТР-3.4.2 В конструкции должны применяться 4–6 металлических стоек М2,5.</w:t>
      </w:r>
    </w:p>
    <w:p>
      <w:r>
        <w:t xml:space="preserve">ТР-3.4.3 Фрезерованный алюминиевый лонжерон-теплоотвод с оребрением под принудительный обдув должен отводить тепло ПЛИС/DC/DC и обеспечивать жёсткость.</w:t>
      </w:r>
    </w:p>
    <w:p>
      <w:r>
        <w:t xml:space="preserve">ТР-3.4.4 Лицевая панель должна крепиться к обеим платам и лонжерону.</w:t>
      </w:r>
    </w:p>
    <w:p>
      <w:r>
        <w:t xml:space="preserve">ТР-3.4.5 Дополнительная винтовая фиксация к Carrier должна предотвращать микроперемещения Card Edge и ложное размыкание PS1#.</w:t>
      </w:r>
    </w:p>
    <w:p>
      <w:r>
        <w:t xml:space="preserve">ТР-3.4.6 Изделие должно соответствовать группам 1.1, 1.3, 1.4.1, исполнению «О» по ГОСТ РВ 20.39.304-98.</w:t>
      </w:r>
    </w:p>
    <w:p>
      <w:r>
        <w:t xml:space="preserve">ТР-3.4.7 Рабочая температура должна составлять от −10 до +50 °C; предельная температура — от −40 до +65 °C.</w:t>
      </w:r>
    </w:p>
    <w:p>
      <w:r>
        <w:t xml:space="preserve">ТР-3.4.8 Изделие должно выдерживать вибрацию от 5 до 500 Гц до 50 м/с² (5g).</w:t>
      </w:r>
    </w:p>
    <w:p>
      <w:r>
        <w:t xml:space="preserve">ТР-3.4.9 Изделие должно выдерживать многократные удары 150 м/с² (15g) длительностью 5–15 мс.</w:t>
      </w:r>
    </w:p>
    <w:p>
      <w:r>
        <w:t xml:space="preserve">ТР-3.4.10 Радиопомехи должны соответствовать группе 1.1.1 ГОСТ В 25803-91.</w:t>
      </w:r>
    </w:p>
    <w:p>
      <w:r>
        <w:t xml:space="preserve">ТР-3.4.11 MTBF должен быть не менее 15 000 ч.</w:t>
      </w:r>
    </w:p>
    <w:p>
      <w:r>
        <w:t xml:space="preserve">ТР-3.4.12 Назначенный срок службы должен быть не менее 20 лет.</w:t>
      </w:r>
    </w:p>
    <w:p>
      <w:pPr>
        <w:pStyle w:val="Heading1"/>
      </w:pPr>
      <w:r>
        <w:t xml:space="preserve">4. Технико-экономические требования</w:t>
      </w:r>
    </w:p>
    <w:p>
      <w:r>
        <w:t xml:space="preserve">4.1 Технико-экономические требования не предъявляются.</w:t>
      </w:r>
    </w:p>
    <w:p>
      <w:pPr>
        <w:pStyle w:val="Heading1"/>
      </w:pPr>
      <w:r>
        <w:t xml:space="preserve">5. Требования к видам обеспечения</w:t>
      </w:r>
    </w:p>
    <w:p>
      <w:r>
        <w:t xml:space="preserve">ТР-5.1 При разработке должны быть учтены нормативные документы, перечисленные перед разделом 1, в пределах их применимости к изделию и требованиям настоящего ТЗ.</w:t>
      </w:r>
    </w:p>
    <w:p>
      <w:r>
        <w:t xml:space="preserve">ТР-5.2 В КД должны быть определены допустимые погрешности измерений питания, тока и температуры ПЛИС, а также методики калибровки. Значения допустимых погрешностей [уточнить].</w:t>
      </w:r>
    </w:p>
    <w:p>
      <w:r>
        <w:t xml:space="preserve">ТР-5.3 Должна выполняться непрерывная диагностика SDR, Ethernet CRC/drops и целостности прошивки с формированием аварийных сообщений.</w:t>
      </w:r>
    </w:p>
    <w:p>
      <w:r>
        <w:t xml:space="preserve">ТР-5.4 Должна быть предусмотрена пассивная технологическая B2B-плата для автоматизированного 100% входного/выходного производственного контроля SerDes, GPIO, Clock, Power и I2C.</w:t>
      </w:r>
    </w:p>
    <w:p>
      <w:pPr>
        <w:pStyle w:val="Heading1"/>
      </w:pPr>
      <w:r>
        <w:t xml:space="preserve">6. Требования к сырью, материалам и комплектующим</w:t>
      </w:r>
    </w:p>
    <w:p>
      <w:r>
        <w:t xml:space="preserve">ТР-6.1 При выборе материалов и компонентов должен обеспечиваться приоритет отечественных материалов и компонентов.</w:t>
      </w:r>
    </w:p>
    <w:p>
      <w:r>
        <w:t xml:space="preserve">ТР-6.2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1"/>
      </w:pPr>
      <w:r>
        <w:t xml:space="preserve">7. Упаковка и маркировка</w:t>
      </w:r>
    </w:p>
    <w:p>
      <w:r>
        <w:t xml:space="preserve">ТР-7.1 Маркировка должна содержать децимальный номер, серийный номер и ревизию.</w:t>
      </w:r>
    </w:p>
    <w:p>
      <w:r>
        <w:t xml:space="preserve">ТР-7.2 Изделие должно поставляться в индивидуальной таре с ESD-защитой.</w:t>
      </w:r>
    </w:p>
    <w:p>
      <w:r>
        <w:t xml:space="preserve">ТР-7.3 Хранение изделия в заводской таре должно быть возможно не менее 1 года по ГОСТ 15150.</w:t>
      </w:r>
    </w:p>
    <w:p>
      <w:pPr>
        <w:pStyle w:val="Heading1"/>
      </w:pPr>
      <w:r>
        <w:t xml:space="preserve">8. Специальные требования</w:t>
      </w:r>
    </w:p>
    <w:p>
      <w:r>
        <w:t xml:space="preserve">ТР-8.1 РМО, реализованное на C++/Qt, должно через MMC и ShMC получать тип субплаты, состояние M0–M7, ток, температуру ПЛИС и статусы «Норма», «Предавария», «Авария».</w:t>
      </w:r>
    </w:p>
    <w:p>
      <w:r>
        <w:t xml:space="preserve">ТР-8.2 РМО должно обеспечивать команды безопасной подготовки к извлечению, Reset и обновления Flash.</w:t>
      </w:r>
    </w:p>
    <w:p>
      <w:pPr>
        <w:pStyle w:val="Heading1"/>
      </w:pPr>
      <w:r>
        <w:t xml:space="preserve">9. Критерии приёмки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700"/>
        <w:gridCol w:w="1800"/>
        <w:gridCol w:w="1900"/>
        <w:gridCol w:w="4600"/>
      </w:tblGrid>
      <w:tr>
        <w:trPr>
          <w:tblHeader/>
        </w:trPr>
        <w:tc>
          <w:tcPr>
            <w:tcW w:w="7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Код</w:t>
            </w:r>
          </w:p>
        </w:tc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Требования</w:t>
            </w:r>
          </w:p>
        </w:tc>
        <w:tc>
          <w:tcPr>
            <w:tcW w:w="19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Способ проверки</w:t>
            </w:r>
          </w:p>
        </w:tc>
        <w:tc>
          <w:tcPr>
            <w:tcW w:w="46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Критерий приёмки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КП-01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ТР-3.1.1–ТР-3.1.13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Инспекция КД, осмотр и измерение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Подтверждены состав и B2B: допустимая ПЛИС/SoC; заданные объёмы памяти; AMC Card Edge; количество, типы, направления и электрические параметры линий B2B; варианты VCCO.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КП-02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ТР-3.2.1, ТР-3.2.2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для субплат E1, STM-1, C37.94, RS-485 и E2/E3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При дежурном питании считываются Board ID, ревизия и калибровки; для каждого типа субплаты автоматически выбирается bitstream соответствующего интерфейса.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КП-03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ТР-3.2.3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внесением каждого из отказов: сбой загрузки, ошибка CRC32, ошибка прошивки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Для каждого отказа выполняется автоматический fallback с защищённого от перезаписи Golden Image, запускается Base 1GbE, диагностика доступна в РМО.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КП-04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ТР-3.2.4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при отсутствии +12 В, сбое и обновлении ПЛИС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MMC сохраняет работоспособность от дежурных +3,3 В; управление не нарушается.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КП-05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ТР-3.2.5, ТР-3.2.8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состояний и E-Keying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Подтверждены M0–M7, IPMB-L к IPMC Carrier, динамический FRU по типу субплаты, индикатор Hot-Swap; передатчики Fabric и Base не включаются до успешного E-Keying и включаются после него.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КП-06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ТР-3.2.6, ТР-3.2.7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сетевых каналов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Fabric обеспечивает пользовательский 10GbE 10GBASE-KR/XFI со Strict Priority QoS; Base обеспечивает управление, мониторинг и обновление по 1GbE 1000BASE-BX/SGMII.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КП-07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ТР-3.3.2, ТР-3.3.3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Измерение мощности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Базовая плата потребляет не более 40 Вт; сборка с субплатой — не более 60 Вт штатно и не более 80 Вт пиково.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КП-08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ТР-3.3.4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Измерение времени при размыкании PS1#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Аппаратное снятие +12 В происходит не позднее чем через 100 мкс после размыкания ручки Hot-Swap (PS1#).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КП-09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ТР-3.3.5, ТР-3.3.6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трактов синхронизации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TCLKA и TCLKC принимаются от Carrier и распределяются на ПЛИС и субплату; восстановленная частота от субплаты проходит через управляемый буфер в выделенный TCLK Carrier.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КП-10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ТР-3.3.7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Измерение частоты и фазового джиттера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Частота генератора SerDes 10GbE составляет 156,25 МГц; RMS фазовый джиттер не более 300 фс в полосе 12 кГц…20 МГц.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КП-11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ТР-3.4.1–ТР-3.4.5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Инспекция КД, осмотр и измерение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Подтверждены конструктив Single Full-size AMC.0, размеры 73,5 × 180,6 мм, высота не более 28,95 мм, 4–6 стоек М2,5, лонжерон-теплоотвод и заданные крепления.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КП-12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ТР-3.4.6–ТР-3.4.10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и измерение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Подтверждены группы и исполнение по ГОСТ РВ 20.39.304-98, рабочая и предельная температуры, вибрация 5–500 Гц до 50 м/с² (5g), многократные удары 150 м/с² (15g), 5–15 мс, и группа радиопомех 1.1.1 ГОСТ В 25803-91. Длительности и последовательности испытаний определяются применимой документацией; в исходных данных не заданы.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КП-13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ТР-3.4.11, ТР-3.4.12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Расчёт и анализ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Расчётно подтверждены MTBF не менее 15 000 ч и назначенный срок службы не менее 20 лет. Методика расчёта в исходных данных не задана.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КП-14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ТР-5.3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Испытание диагностируемых событий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Непрерывно диагностируются SDR, Ethernet CRC/drops и целостность прошивки; при выявленных нарушениях формируются аварийные сообщения.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КП-15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ТР-5.4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Производственное испытание с технологической B2B-платой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Автоматизированным 100% входным/выходным контролем охвачены SerDes, GPIO, Clock, Power и I2C.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</w:pPr>
            <w:r>
              <w:t xml:space="preserve">КП-16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t xml:space="preserve">ТР-8.1, ТР-8.2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t xml:space="preserve">Демонстрация и испытание РМО</w:t>
            </w:r>
          </w:p>
        </w:tc>
        <w:tc>
          <w:tcPr>
            <w:tcW w:w="4600" w:type="dxa"/>
          </w:tcPr>
          <w:p>
            <w:pPr>
              <w:spacing w:before="0" w:after="0"/>
            </w:pPr>
            <w:r>
              <w:t xml:space="preserve">Через MMC и ShMC в РМО отображаются все заданные данные и статусы; выполняются команды безопасной подготовки к извлечению, Reset и обновления Flash.</w:t>
            </w:r>
          </w:p>
        </w:tc>
      </w:tr>
    </w:tbl>
    <w:p>
      <w:pPr>
        <w:pStyle w:val="Heading1"/>
      </w:pPr>
      <w:r>
        <w:t xml:space="preserve">10. Открытые вопросы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800"/>
        <w:gridCol w:w="3200"/>
        <w:gridCol w:w="5000"/>
      </w:tblGrid>
      <w:tr>
        <w:trPr>
          <w:tblHeader/>
        </w:trPr>
        <w:tc>
          <w:tcPr>
            <w:tcW w:w="8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Код</w:t>
            </w:r>
          </w:p>
        </w:tc>
        <w:tc>
          <w:tcPr>
            <w:tcW w:w="32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Вопрос</w:t>
            </w:r>
          </w:p>
        </w:tc>
        <w:tc>
          <w:tcPr>
            <w:tcW w:w="5000" w:type="dxa"/>
            <w:shd w:fill="D9E2F3"/>
          </w:tcPr>
          <w:p>
            <w:pPr>
              <w:spacing w:before="0" w:after="0"/>
            </w:pPr>
            <w:r>
              <w:rPr>
                <w:b/>
              </w:rPr>
              <w:t xml:space="preserve">Состояние и зависимость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ОВ-01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Конкретное семейство ПЛИС/SoC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[уточнить]; до решения сохраняются альтернативы Zynq-7000, Kintex-7, Ultrascale+ либо аналог. Затрагивает ТР-3.1.1.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ОВ-02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Карта B2B и структура Board ID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[уточнить]. Затрагивает ТР-3.1.7–ТР-3.1.13, ТР-3.2.1, ТР-3.2.2, КП-01 и КП-02.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ОВ-03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Допустимые погрешности измерений питания, тока и температуры ПЛИС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[уточнить] в КД вместе с методиками калибровки. Затрагивает ТР-5.2 и полноту проверки измерительных функций.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ОВ-04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Календарные сроки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[уточнить] в утверждённом плане-графике РКД, ПО, изготовления образцов и испытаний. Затрагивает пункт 1.5.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ОВ-05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Номер и дата приказа об открытии инициативной ОКР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№ [уточнить] от [уточнить]. Затрагивает титульные реквизиты и пункт 1.3.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ОВ-06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Организация-исполнитель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[организация-исполнитель]. Затрагивает титульные реквизиты и пункт 1.4.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ОВ-07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Организации согласования, ФИО, подписи и даты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[уточнить]. Затрагивает титульные реквизиты.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/>
            </w:pPr>
            <w:r>
              <w:t xml:space="preserve">ОВ-08</w:t>
            </w:r>
          </w:p>
        </w:tc>
        <w:tc>
          <w:tcPr>
            <w:tcW w:w="3200" w:type="dxa"/>
          </w:tcPr>
          <w:p>
            <w:pPr>
              <w:spacing w:before="0" w:after="0"/>
            </w:pPr>
            <w:r>
              <w:t xml:space="preserve">Раскрытия и определения AMC, Carrier, FPGA, MMC, B2B, FRU, IPMB-L, Fabric/Base, E-Keying, Multi-Boot, Golden Image, Board ID, AXI, TDM, РМО, ЭМС, ОКР, РКД, ПМИ, ПЛИС и ЭКБ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t xml:space="preserve">[уточнить] по утверждённому источнику; исходные данные требуют раскрытия, но не содержат формулировок. Затрагивает перечень сокращений и терминов.</w:t>
            </w:r>
          </w:p>
        </w:tc>
      </w:tr>
    </w:tbl>
    <w:sectPr>
      <w:pgSz w:w="11906" w:h="16838"/>
      <w:pgMar w:top="1134" w:right="1134" w:bottom="1134" w:left="1417" w:header="567" w:footer="567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60" w:after="180"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задание. Универсальная базовая цифровая плата AMC</dc:title>
  <dc:subject>ОКР «Развитие-ТСА»</dc:subject>
  <dc:language>ru-RU</dc:language>
</cp:coreProperties>
</file>