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СОГЛАСОВАНО</w:t>
            </w:r>
            <w:br/>
            <w:r>
              <w:t xml:space="preserve">Организация: [уточнить]</w:t>
            </w:r>
            <w:br/>
            <w:r>
              <w:t xml:space="preserve">Должность, ФИО: [уточнить]</w:t>
            </w:r>
            <w:br/>
            <w:r>
              <w:t xml:space="preserve">Подпись: [уточнить]   Дата: [уточнить]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УТВЕРЖДАЮ</w:t>
            </w:r>
            <w:br/>
            <w:r>
              <w:t xml:space="preserve">Организация: [уточнить]</w:t>
            </w:r>
            <w:br/>
            <w:r>
              <w:t xml:space="preserve">Должность, ФИО: [уточнить]</w:t>
            </w:r>
            <w:br/>
            <w:r>
              <w:t xml:space="preserve">Подпись: [уточнить]   Дата: [уточнить]</w:t>
            </w:r>
          </w:p>
        </w:tc>
      </w:tr>
    </w:tbl>
    <w:p>
      <w:r>
        <w:rPr>
          <w:b/>
        </w:rPr>
        <w:t xml:space="preserve">ТЕХНИЧЕСКОЕ ЗАДАНИЕ</w:t>
      </w:r>
    </w:p>
    <w:p>
      <w:r>
        <w:rPr>
          <w:b/>
        </w:rPr>
        <w:t xml:space="preserve">на опытно-конструкторскую работу</w:t>
      </w:r>
    </w:p>
    <w:p>
      <w:r>
        <w:rPr>
          <w:b/>
        </w:rPr>
        <w:t xml:space="preserve">«Универсальная базовая цифровая плата интерфейсных мезонинных модулей AMC для ДММП»</w:t>
      </w:r>
    </w:p>
    <w:p>
      <w:r>
        <w:t xml:space="preserve">Шифр ОКР «Развитие-ТСА»</w:t>
      </w:r>
    </w:p>
    <w:p>
      <w:r>
        <w:t xml:space="preserve">[уточнить] — [уточнить]</w:t>
      </w:r>
    </w:p>
    <w:p>
      <w:r>
        <w:t xml:space="preserve">Реквизиты согласования, утверждения, место и дата составления не предоставлены. Их заполнение требуется до утверждения документа.</w:t>
      </w:r>
    </w:p>
    <w:p>
      <w:r>
        <w:br w:type="page"/>
      </w:r>
    </w:p>
    <w:p>
      <w:pPr>
        <w:pStyle w:val="Title"/>
      </w:pPr>
      <w:r>
        <w:t xml:space="preserve">Техническое задание</w:t>
      </w:r>
    </w:p>
    <w:p>
      <w:pPr>
        <w:pStyle w:val="Heading1"/>
      </w:pPr>
      <w:r>
        <w:t xml:space="preserve">Перечень сокращений и терминов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t xml:space="preserve">Сокращение / термин</w:t>
            </w:r>
          </w:p>
        </w:tc>
        <w:tc>
          <w:tcPr>
            <w:tcW w:w="0" w:type="auto"/>
            <w:shd w:fill="D9EAF7"/>
          </w:tcPr>
          <w:p>
            <w:r>
              <w:t xml:space="preserve">Расшифровка или употребление в настоящем ТЗ</w:t>
            </w:r>
          </w:p>
        </w:tc>
      </w:tr>
      <w:tr>
        <w:tc>
          <w:tcPr>
            <w:tcW w:w="0" w:type="auto"/>
          </w:tcPr>
          <w:p>
            <w:r>
              <w:t xml:space="preserve">AMC</w:t>
            </w:r>
          </w:p>
        </w:tc>
        <w:tc>
          <w:tcPr>
            <w:tcW w:w="0" w:type="auto"/>
          </w:tcPr>
          <w:p>
            <w:r>
              <w:t xml:space="preserve">Advanced Mezzanine Card; интерфейсный мезонинный модуль.</w:t>
            </w:r>
          </w:p>
        </w:tc>
      </w:tr>
      <w:tr>
        <w:tc>
          <w:tcPr>
            <w:tcW w:w="0" w:type="auto"/>
          </w:tcPr>
          <w:p>
            <w:r>
              <w:t xml:space="preserve">Carrier</w:t>
            </w:r>
          </w:p>
        </w:tc>
        <w:tc>
          <w:tcPr>
            <w:tcW w:w="0" w:type="auto"/>
          </w:tcPr>
          <w:p>
            <w:r>
              <w:t xml:space="preserve">несущая плата шасси, с которой взаимодействует AMC-модуль.</w:t>
            </w:r>
          </w:p>
        </w:tc>
      </w:tr>
      <w:tr>
        <w:tc>
          <w:tcPr>
            <w:tcW w:w="0" w:type="auto"/>
          </w:tcPr>
          <w:p>
            <w:r>
              <w:t xml:space="preserve">FPGA</w:t>
            </w:r>
          </w:p>
        </w:tc>
        <w:tc>
          <w:tcPr>
            <w:tcW w:w="0" w:type="auto"/>
          </w:tcPr>
          <w:p>
            <w:r>
              <w:t xml:space="preserve">Field-Programmable Gate Array; ПЛИС.</w:t>
            </w:r>
          </w:p>
        </w:tc>
      </w:tr>
      <w:tr>
        <w:tc>
          <w:tcPr>
            <w:tcW w:w="0" w:type="auto"/>
          </w:tcPr>
          <w:p>
            <w:r>
              <w:t xml:space="preserve">ПЛИС</w:t>
            </w:r>
          </w:p>
        </w:tc>
        <w:tc>
          <w:tcPr>
            <w:tcW w:w="0" w:type="auto"/>
          </w:tcPr>
          <w:p>
            <w:r>
              <w:t xml:space="preserve">программируемая логическая интегральная схема.</w:t>
            </w:r>
          </w:p>
        </w:tc>
      </w:tr>
      <w:tr>
        <w:tc>
          <w:tcPr>
            <w:tcW w:w="0" w:type="auto"/>
          </w:tcPr>
          <w:p>
            <w:r>
              <w:t xml:space="preserve">MMC</w:t>
            </w:r>
          </w:p>
        </w:tc>
        <w:tc>
          <w:tcPr>
            <w:tcW w:w="0" w:type="auto"/>
          </w:tcPr>
          <w:p>
            <w:r>
              <w:t xml:space="preserve">Module Management Controller; контроллер управления модулем.</w:t>
            </w:r>
          </w:p>
        </w:tc>
      </w:tr>
      <w:tr>
        <w:tc>
          <w:tcPr>
            <w:tcW w:w="0" w:type="auto"/>
          </w:tcPr>
          <w:p>
            <w:r>
              <w:t xml:space="preserve">B2B</w:t>
            </w:r>
          </w:p>
        </w:tc>
        <w:tc>
          <w:tcPr>
            <w:tcW w:w="0" w:type="auto"/>
          </w:tcPr>
          <w:p>
            <w:r>
              <w:t xml:space="preserve">Board-to-Board; межплатное соединение базовой платы и субплаты.</w:t>
            </w:r>
          </w:p>
        </w:tc>
      </w:tr>
      <w:tr>
        <w:tc>
          <w:tcPr>
            <w:tcW w:w="0" w:type="auto"/>
          </w:tcPr>
          <w:p>
            <w:r>
              <w:t xml:space="preserve">FRU</w:t>
            </w:r>
          </w:p>
        </w:tc>
        <w:tc>
          <w:tcPr>
            <w:tcW w:w="0" w:type="auto"/>
          </w:tcPr>
          <w:p>
            <w:r>
              <w:t xml:space="preserve">Field Replaceable Unit; сведения о заменяемом в полевых условиях модуле.</w:t>
            </w:r>
          </w:p>
        </w:tc>
      </w:tr>
      <w:tr>
        <w:tc>
          <w:tcPr>
            <w:tcW w:w="0" w:type="auto"/>
          </w:tcPr>
          <w:p>
            <w:r>
              <w:t xml:space="preserve">IPMB-L</w:t>
            </w:r>
          </w:p>
        </w:tc>
        <w:tc>
          <w:tcPr>
            <w:tcW w:w="0" w:type="auto"/>
          </w:tcPr>
          <w:p>
            <w:r>
              <w:t xml:space="preserve">Intelligent Platform Management Bus — Local; локальная шина управления IPMI.</w:t>
            </w:r>
          </w:p>
        </w:tc>
      </w:tr>
      <w:tr>
        <w:tc>
          <w:tcPr>
            <w:tcW w:w="0" w:type="auto"/>
          </w:tcPr>
          <w:p>
            <w:r>
              <w:t xml:space="preserve">Fabric</w:t>
            </w:r>
          </w:p>
        </w:tc>
        <w:tc>
          <w:tcPr>
            <w:tcW w:w="0" w:type="auto"/>
          </w:tcPr>
          <w:p>
            <w:r>
              <w:t xml:space="preserve">пользовательский сетевой канал 10GbE.</w:t>
            </w:r>
          </w:p>
        </w:tc>
      </w:tr>
      <w:tr>
        <w:tc>
          <w:tcPr>
            <w:tcW w:w="0" w:type="auto"/>
          </w:tcPr>
          <w:p>
            <w:r>
              <w:t xml:space="preserve">Base</w:t>
            </w:r>
          </w:p>
        </w:tc>
        <w:tc>
          <w:tcPr>
            <w:tcW w:w="0" w:type="auto"/>
          </w:tcPr>
          <w:p>
            <w:r>
              <w:t xml:space="preserve">сетевой канал управления, мониторинга и обновления 1GbE.</w:t>
            </w:r>
          </w:p>
        </w:tc>
      </w:tr>
      <w:tr>
        <w:tc>
          <w:tcPr>
            <w:tcW w:w="0" w:type="auto"/>
          </w:tcPr>
          <w:p>
            <w:r>
              <w:t xml:space="preserve">E-Keying</w:t>
            </w:r>
          </w:p>
        </w:tc>
        <w:tc>
          <w:tcPr>
            <w:tcW w:w="0" w:type="auto"/>
          </w:tcPr>
          <w:p>
            <w:r>
              <w:t xml:space="preserve">электронное согласование разрешённых соединений.</w:t>
            </w:r>
          </w:p>
        </w:tc>
      </w:tr>
      <w:tr>
        <w:tc>
          <w:tcPr>
            <w:tcW w:w="0" w:type="auto"/>
          </w:tcPr>
          <w:p>
            <w:r>
              <w:t xml:space="preserve">Multi-Boot</w:t>
            </w:r>
          </w:p>
        </w:tc>
        <w:tc>
          <w:tcPr>
            <w:tcW w:w="0" w:type="auto"/>
          </w:tcPr>
          <w:p>
            <w:r>
              <w:t xml:space="preserve">загрузка из нескольких образов.</w:t>
            </w:r>
          </w:p>
        </w:tc>
      </w:tr>
      <w:tr>
        <w:tc>
          <w:tcPr>
            <w:tcW w:w="0" w:type="auto"/>
          </w:tcPr>
          <w:p>
            <w:r>
              <w:t xml:space="preserve">Golden Image</w:t>
            </w:r>
          </w:p>
        </w:tc>
        <w:tc>
          <w:tcPr>
            <w:tcW w:w="0" w:type="auto"/>
          </w:tcPr>
          <w:p>
            <w:r>
              <w:t xml:space="preserve">защищённый от перезаписи образ загрузки.</w:t>
            </w:r>
          </w:p>
        </w:tc>
      </w:tr>
      <w:tr>
        <w:tc>
          <w:tcPr>
            <w:tcW w:w="0" w:type="auto"/>
          </w:tcPr>
          <w:p>
            <w:r>
              <w:t xml:space="preserve">Board ID</w:t>
            </w:r>
          </w:p>
        </w:tc>
        <w:tc>
          <w:tcPr>
            <w:tcW w:w="0" w:type="auto"/>
          </w:tcPr>
          <w:p>
            <w:r>
              <w:t xml:space="preserve">идентификатор субплаты.</w:t>
            </w:r>
          </w:p>
        </w:tc>
      </w:tr>
      <w:tr>
        <w:tc>
          <w:tcPr>
            <w:tcW w:w="0" w:type="auto"/>
          </w:tcPr>
          <w:p>
            <w:r>
              <w:t xml:space="preserve">AXI</w:t>
            </w:r>
          </w:p>
        </w:tc>
        <w:tc>
          <w:tcPr>
            <w:tcW w:w="0" w:type="auto"/>
          </w:tcPr>
          <w:p>
            <w:r>
              <w:t xml:space="preserve">Advanced eXtensible Interface.</w:t>
            </w:r>
          </w:p>
        </w:tc>
      </w:tr>
      <w:tr>
        <w:tc>
          <w:tcPr>
            <w:tcW w:w="0" w:type="auto"/>
          </w:tcPr>
          <w:p>
            <w:r>
              <w:t xml:space="preserve">TDM</w:t>
            </w:r>
          </w:p>
        </w:tc>
        <w:tc>
          <w:tcPr>
            <w:tcW w:w="0" w:type="auto"/>
          </w:tcPr>
          <w:p>
            <w:r>
              <w:t xml:space="preserve">Time Division Multiplexing; мультиплексирование с разделением по времени.</w:t>
            </w:r>
          </w:p>
        </w:tc>
      </w:tr>
      <w:tr>
        <w:tc>
          <w:tcPr>
            <w:tcW w:w="0" w:type="auto"/>
          </w:tcPr>
          <w:p>
            <w:r>
              <w:t xml:space="preserve">РМО</w:t>
            </w:r>
          </w:p>
        </w:tc>
        <w:tc>
          <w:tcPr>
            <w:tcW w:w="0" w:type="auto"/>
          </w:tcPr>
          <w:p>
            <w:r>
              <w:t xml:space="preserve">рабочее место оператора.</w:t>
            </w:r>
          </w:p>
        </w:tc>
      </w:tr>
      <w:tr>
        <w:tc>
          <w:tcPr>
            <w:tcW w:w="0" w:type="auto"/>
          </w:tcPr>
          <w:p>
            <w:r>
              <w:t xml:space="preserve">ЭМС</w:t>
            </w:r>
          </w:p>
        </w:tc>
        <w:tc>
          <w:tcPr>
            <w:tcW w:w="0" w:type="auto"/>
          </w:tcPr>
          <w:p>
            <w:r>
              <w:t xml:space="preserve">электромагнитная совместимость.</w:t>
            </w:r>
          </w:p>
        </w:tc>
      </w:tr>
      <w:tr>
        <w:tc>
          <w:tcPr>
            <w:tcW w:w="0" w:type="auto"/>
          </w:tcPr>
          <w:p>
            <w:r>
              <w:t xml:space="preserve">ОКР</w:t>
            </w:r>
          </w:p>
        </w:tc>
        <w:tc>
          <w:tcPr>
            <w:tcW w:w="0" w:type="auto"/>
          </w:tcPr>
          <w:p>
            <w:r>
              <w:t xml:space="preserve">опытно-конструкторская работа.</w:t>
            </w:r>
          </w:p>
        </w:tc>
      </w:tr>
      <w:tr>
        <w:tc>
          <w:tcPr>
            <w:tcW w:w="0" w:type="auto"/>
          </w:tcPr>
          <w:p>
            <w:r>
              <w:t xml:space="preserve">РКД</w:t>
            </w:r>
          </w:p>
        </w:tc>
        <w:tc>
          <w:tcPr>
            <w:tcW w:w="0" w:type="auto"/>
          </w:tcPr>
          <w:p>
            <w:r>
              <w:t xml:space="preserve">рабочая конструкторская документация.</w:t>
            </w:r>
          </w:p>
        </w:tc>
      </w:tr>
      <w:tr>
        <w:tc>
          <w:tcPr>
            <w:tcW w:w="0" w:type="auto"/>
          </w:tcPr>
          <w:p>
            <w:r>
              <w:t xml:space="preserve">ПМИ</w:t>
            </w:r>
          </w:p>
        </w:tc>
        <w:tc>
          <w:tcPr>
            <w:tcW w:w="0" w:type="auto"/>
          </w:tcPr>
          <w:p>
            <w:r>
              <w:t xml:space="preserve">программа и методика испытаний.</w:t>
            </w:r>
          </w:p>
        </w:tc>
      </w:tr>
    </w:tbl>
    <w:p>
      <w:pPr>
        <w:pStyle w:val="Heading1"/>
      </w:pPr>
      <w:r>
        <w:t xml:space="preserve">Нормативные документы, подлежащие учёту</w:t>
      </w:r>
    </w:p>
    <w:p>
      <w:r>
        <w:t xml:space="preserve">PICMG AMC.0 R2.0; PICMG AMC.2 R1.0; IPMI v2.0 revision 1.1; IEEE 802.3; ГОСТ РВ 20.39.304-98; ГОСТ В 25803-91; ГОСТ 2.114-2016; ГОСТ РВ 15.201-2003; ГОСТ 15150.</w:t>
      </w:r>
    </w:p>
    <w:p>
      <w:r>
        <w:t xml:space="preserve">Тексты перечисленных документов не предоставлены. В настоящем ТЗ приведены только требования, непосредственно заданные исходными материалами; соответствие конкретным положениям перечисленных документов подлежит установлению при разработке РКД и ПМИ.</w:t>
      </w:r>
    </w:p>
    <w:p>
      <w:pPr>
        <w:pStyle w:val="Heading1"/>
      </w:pPr>
      <w:r>
        <w:t xml:space="preserve">1. Наименование, шифр, основание, исполнители и сроки ОКР</w:t>
      </w:r>
    </w:p>
    <w:p>
      <w:r>
        <w:rPr>
          <w:b/>
        </w:rPr>
        <w:t xml:space="preserve">1.1.</w:t>
      </w:r>
      <w:r>
        <w:t xml:space="preserve"> Наименование ОКР: «Универсальная базовая цифровая плата интерфейсных мезонинных модулей AMC для ДММП».</w:t>
      </w:r>
    </w:p>
    <w:p>
      <w:r>
        <w:rPr>
          <w:b/>
        </w:rPr>
        <w:t xml:space="preserve">1.2.</w:t>
      </w:r>
      <w:r>
        <w:t xml:space="preserve"> Шифр ОКР: «Развитие-ТСА».</w:t>
      </w:r>
    </w:p>
    <w:p>
      <w:r>
        <w:rPr>
          <w:b/>
        </w:rPr>
        <w:t xml:space="preserve">1.3.</w:t>
      </w:r>
      <w:r>
        <w:t xml:space="preserve"> Основание: приказ об открытии инициативной ОКР № [уточнить] от [уточнить].</w:t>
      </w:r>
    </w:p>
    <w:p>
      <w:r>
        <w:rPr>
          <w:b/>
        </w:rPr>
        <w:t xml:space="preserve">1.4.</w:t>
      </w:r>
      <w:r>
        <w:t xml:space="preserve"> Исполнитель: [организация-исполнитель].</w:t>
      </w:r>
    </w:p>
    <w:p>
      <w:r>
        <w:rPr>
          <w:b/>
        </w:rPr>
        <w:t xml:space="preserve">1.5.</w:t>
      </w:r>
      <w:r>
        <w:t xml:space="preserve"> Срок выполнения: по утверждённому плану-графику разработки РКД, базового микропрограммного обеспечения, изготовления опытных образцов и испытаний. Календарные даты не определены.</w:t>
      </w:r>
    </w:p>
    <w:p>
      <w:pPr>
        <w:pStyle w:val="Heading1"/>
      </w:pPr>
      <w:r>
        <w:t xml:space="preserve">2. Назначение и область применения</w:t>
      </w:r>
    </w:p>
    <w:p>
      <w:r>
        <w:rPr>
          <w:b/>
        </w:rPr>
        <w:t xml:space="preserve">2.1.</w:t>
      </w:r>
      <w:r>
        <w:t xml:space="preserve"> Разрабатываемая плата предназначена для универсальной базовой цифровой платы AMC семейства ДММП для субплат E1, STM-1, C37.94, RS-485 и E2/E3.</w:t>
      </w:r>
    </w:p>
    <w:p>
      <w:r>
        <w:rPr>
          <w:b/>
        </w:rPr>
        <w:t xml:space="preserve">2.2.</w:t>
      </w:r>
      <w:r>
        <w:t xml:space="preserve"> Базовая плата должна обеспечивать обработку сигналов, инкапсуляцию в Ethernet и сопряжение с Carrier в шасси 3U, 6U и 14U.</w:t>
      </w:r>
    </w:p>
    <w:p>
      <w:r>
        <w:rPr>
          <w:b/>
        </w:rPr>
        <w:t xml:space="preserve">2.3.</w:t>
      </w:r>
      <w:r>
        <w:t xml:space="preserve"> Конструкция должна быть двухплатной: универсальная цифровая базовая плата и Front-End Daughterboard, соединённые через B2B. На субплате должны размещаться специализированные PHY/LIU/RS-485, изоляция, защита, лицевые разъёмы и EEPROM Board ID. На базовой плате должны размещаться вычислительные, сетевые, тактовые и служебные узлы. Базовая плата совместно с субплатой должна образовывать законченный AMC-модуль.</w:t>
      </w:r>
    </w:p>
    <w:p>
      <w:pPr>
        <w:pStyle w:val="Heading1"/>
      </w:pPr>
      <w:r>
        <w:t xml:space="preserve">3. Технические требования</w:t>
      </w:r>
    </w:p>
    <w:p>
      <w:pPr>
        <w:pStyle w:val="Heading2"/>
      </w:pPr>
      <w:r>
        <w:t xml:space="preserve">3.1. Состав и межплатное соединение B2B</w:t>
      </w:r>
    </w:p>
    <w:p>
      <w:r>
        <w:rPr>
          <w:b/>
        </w:rPr>
        <w:t xml:space="preserve">3.1.1.</w:t>
      </w:r>
      <w:r>
        <w:t xml:space="preserve"> В качестве ПЛИС/SoC допускается применять Zynq-7000, Kintex-7, Ultrascale+ либо аналог; обязательный выбор семейства не устанавливается.</w:t>
      </w:r>
    </w:p>
    <w:p>
      <w:r>
        <w:rPr>
          <w:b/>
        </w:rPr>
        <w:t xml:space="preserve">3.1.2.</w:t>
      </w:r>
      <w:r>
        <w:t xml:space="preserve"> Базовая плата должна иметь DDR3 или DDR4 ёмкостью не менее 1 Гбайт и Flash ёмкостью не менее 128 Мбайт с Multi-Boot и защищённым Golden Image.</w:t>
      </w:r>
    </w:p>
    <w:p>
      <w:r>
        <w:rPr>
          <w:b/>
        </w:rPr>
        <w:t xml:space="preserve">3.1.3.</w:t>
      </w:r>
      <w:r>
        <w:t xml:space="preserve"> MMC должен питаться от дежурных +3,3 В; DC/DC основной части — от +12 В. Базовая плата должна иметь AMC Card Edge и B2B.</w:t>
      </w:r>
    </w:p>
    <w:p>
      <w:r>
        <w:rPr>
          <w:b/>
        </w:rPr>
        <w:t xml:space="preserve">3.1.4.</w:t>
      </w:r>
      <w:r>
        <w:t xml:space="preserve"> B2B должен обеспечивать экранированные дифференциальные пары с импедансом 100 Ом; не менее 6 пар LVDS/SerDes со скоростью до 3,125–6,25 Гбит/с; не менее 32 GPIO/TDM; дифференциальные TX_CLK/RX_CLK; независимый I2C для EEPROM и термодатчиков; защищённые линии +12 В, +3,3 В и +1,8 В.</w:t>
      </w:r>
    </w:p>
    <w:p>
      <w:r>
        <w:rPr>
          <w:b/>
        </w:rPr>
        <w:t xml:space="preserve">3.1.5.</w:t>
      </w:r>
      <w:r>
        <w:t xml:space="preserve"> VCCO банков ПЛИС должен задаваться субплатой (1,8/3,3 В) либо должны применяться двунаправленные согласователи уровней.</w:t>
      </w:r>
    </w:p>
    <w:p>
      <w:pPr>
        <w:pStyle w:val="Heading2"/>
      </w:pPr>
      <w:r>
        <w:t xml:space="preserve">3.2. Загрузка, управление и сеть</w:t>
      </w:r>
    </w:p>
    <w:p>
      <w:r>
        <w:rPr>
          <w:b/>
        </w:rPr>
        <w:t xml:space="preserve">3.2.1.</w:t>
      </w:r>
      <w:r>
        <w:t xml:space="preserve"> EEPROM субплаты по I2C должна хранить Board ID, ревизию и калибровки.</w:t>
      </w:r>
    </w:p>
    <w:p>
      <w:r>
        <w:rPr>
          <w:b/>
        </w:rPr>
        <w:t xml:space="preserve">3.2.2.</w:t>
      </w:r>
      <w:r>
        <w:t xml:space="preserve"> При дежурном питании MMC либо первичный загрузчик должен считывать Board ID и автоматически выбирать bitstream требуемого интерфейса.</w:t>
      </w:r>
    </w:p>
    <w:p>
      <w:r>
        <w:rPr>
          <w:b/>
        </w:rPr>
        <w:t xml:space="preserve">3.2.3.</w:t>
      </w:r>
      <w:r>
        <w:t xml:space="preserve"> При сбое загрузки, CRC32 или ошибке прошивки Multi-Boot и защищённый от перезаписи Golden Image должны обеспечивать автоматический fallback, запуск Base 1GbE и диагностику в РМО.</w:t>
      </w:r>
    </w:p>
    <w:p>
      <w:r>
        <w:rPr>
          <w:b/>
        </w:rPr>
        <w:t xml:space="preserve">3.2.4.</w:t>
      </w:r>
      <w:r>
        <w:t xml:space="preserve"> MMC должен работать независимо от ПЛИС и +12 В. Сбой или обновление ПЛИС не должны нарушать управление. MMC должен обеспечивать состояния M0–M7, IPMB-L к IPMC Carrier, динамический FRU по типу субплаты, E-Keying и индикатор Hot-Swap.</w:t>
      </w:r>
    </w:p>
    <w:p>
      <w:r>
        <w:rPr>
          <w:b/>
        </w:rPr>
        <w:t xml:space="preserve">3.2.5.</w:t>
      </w:r>
      <w:r>
        <w:t xml:space="preserve"> Fabric должен обеспечивать пользовательский 10GbE 10GBASE-KR/XFI со Strict Priority QoS. Base должен обеспечивать управление, мониторинг и обновление по 1GbE 1000BASE-BX/SGMII. Передатчики обоих каналов должны включаться только после успешного E-Keying.</w:t>
      </w:r>
    </w:p>
    <w:p>
      <w:pPr>
        <w:pStyle w:val="Heading2"/>
      </w:pPr>
      <w:r>
        <w:t xml:space="preserve">3.3. Питание и синхронизация</w:t>
      </w:r>
    </w:p>
    <w:p>
      <w:r>
        <w:rPr>
          <w:b/>
        </w:rPr>
        <w:t xml:space="preserve">3.3.1.</w:t>
      </w:r>
      <w:r>
        <w:t xml:space="preserve"> От Carrier должны поступать дежурные +3,3 В и силовые +12 В. Потребляемая мощность базовой платы должна быть не более 40 Вт; сборки с субплатой — не более 60 Вт в штатном режиме и не более 80 Вт пиково.</w:t>
      </w:r>
    </w:p>
    <w:p>
      <w:r>
        <w:rPr>
          <w:b/>
        </w:rPr>
        <w:t xml:space="preserve">3.3.2.</w:t>
      </w:r>
      <w:r>
        <w:t xml:space="preserve"> При размыкании ручки Hot-Swap (PS1#) +12 В должны аппаратно сниматься не позднее 100 мкс.</w:t>
      </w:r>
    </w:p>
    <w:p>
      <w:r>
        <w:rPr>
          <w:b/>
        </w:rPr>
        <w:t xml:space="preserve">3.3.3.</w:t>
      </w:r>
      <w:r>
        <w:t xml:space="preserve"> Базовая плата должна принимать TCLKA/TCLKC от Carrier и распределять их на ПЛИС и субплату. Восстановленная частота от субплаты должна выдаваться через управляемый буфер в выделенный TCLK Carrier.</w:t>
      </w:r>
    </w:p>
    <w:p>
      <w:r>
        <w:rPr>
          <w:b/>
        </w:rPr>
        <w:t xml:space="preserve">3.3.4.</w:t>
      </w:r>
      <w:r>
        <w:t xml:space="preserve"> Генератор SerDes 10GbE должен иметь частоту 156,25 МГц и RMS фазовый джиттер не более 300 фс в полосе 12 кГц…20 МГц.</w:t>
      </w:r>
    </w:p>
    <w:p>
      <w:pPr>
        <w:pStyle w:val="Heading2"/>
      </w:pPr>
      <w:r>
        <w:t xml:space="preserve">3.4. Конструкция, стойкость и надёжность</w:t>
      </w:r>
    </w:p>
    <w:p>
      <w:r>
        <w:rPr>
          <w:b/>
        </w:rPr>
        <w:t xml:space="preserve">3.4.1.</w:t>
      </w:r>
      <w:r>
        <w:t xml:space="preserve"> Конструктивное исполнение — Single Full-size AMC.0: 73,5 × 180,6 мм, высота не более 28,95 мм; 4–6 металлических стоек М2,5.</w:t>
      </w:r>
    </w:p>
    <w:p>
      <w:r>
        <w:rPr>
          <w:b/>
        </w:rPr>
        <w:t xml:space="preserve">3.4.2.</w:t>
      </w:r>
      <w:r>
        <w:t xml:space="preserve"> Фрезерованный алюминиевый лонжерон-теплоотвод с оребрением под принудительный обдув должен отводить тепло от ПЛИС/DC/DC и обеспечивать жёсткость.</w:t>
      </w:r>
    </w:p>
    <w:p>
      <w:r>
        <w:rPr>
          <w:b/>
        </w:rPr>
        <w:t xml:space="preserve">3.4.3.</w:t>
      </w:r>
      <w:r>
        <w:t xml:space="preserve"> Лицевая панель должна крепиться к обеим платам и лонжерону. Дополнительная винтовая фиксация к Carrier должна предотвращать микроперемещения Card Edge и ложное размыкание PS1#.</w:t>
      </w:r>
    </w:p>
    <w:p>
      <w:r>
        <w:rPr>
          <w:b/>
        </w:rPr>
        <w:t xml:space="preserve">3.4.4.</w:t>
      </w:r>
      <w:r>
        <w:t xml:space="preserve"> По ГОСТ РВ 20.39.304-98 должны быть обеспечены группы 1.1, 1.3, 1.4.1 и исполнение «О»; рабочая температура от −10 до +50 °C; предельная температура от −40 до +65 °C; вибрация 5–500 Гц до 50 м/с² (5g); многократные удары 150 м/с² (15g), 5–15 мс.</w:t>
      </w:r>
    </w:p>
    <w:p>
      <w:r>
        <w:rPr>
          <w:b/>
        </w:rPr>
        <w:t xml:space="preserve">3.4.5.</w:t>
      </w:r>
      <w:r>
        <w:t xml:space="preserve"> Радиопомехи должны соответствовать группе 1.1.1 ГОСТ В 25803-91. Средняя наработка на отказ должна быть не менее 15 000 ч; назначенный срок службы — не менее 20 лет.</w:t>
      </w:r>
    </w:p>
    <w:p>
      <w:pPr>
        <w:pStyle w:val="Heading1"/>
      </w:pPr>
      <w:r>
        <w:t xml:space="preserve">4. Технико-экономические требования</w:t>
      </w:r>
    </w:p>
    <w:p>
      <w:r>
        <w:rPr>
          <w:b/>
        </w:rPr>
        <w:t xml:space="preserve">4.1.</w:t>
      </w:r>
      <w:r>
        <w:t xml:space="preserve"> Технико-экономические требования не предъявляются.</w:t>
      </w:r>
    </w:p>
    <w:p>
      <w:pPr>
        <w:pStyle w:val="Heading1"/>
      </w:pPr>
      <w:r>
        <w:t xml:space="preserve">5. Требования к видам обеспечения</w:t>
      </w:r>
    </w:p>
    <w:p>
      <w:r>
        <w:rPr>
          <w:b/>
        </w:rPr>
        <w:t xml:space="preserve">5.1.</w:t>
      </w:r>
      <w:r>
        <w:t xml:space="preserve"> При разработке должны учитываться документы, приведённые в разделе «Нормативные документы, подлежащие учёту».</w:t>
      </w:r>
    </w:p>
    <w:p>
      <w:r>
        <w:rPr>
          <w:b/>
        </w:rPr>
        <w:t xml:space="preserve">5.2.</w:t>
      </w:r>
      <w:r>
        <w:t xml:space="preserve"> В КД должны быть определены допустимые погрешности измерений питания, тока и температуры ПЛИС, а также методики калибровки. Численные значения допустимых погрешностей не заданы.</w:t>
      </w:r>
    </w:p>
    <w:p>
      <w:r>
        <w:rPr>
          <w:b/>
        </w:rPr>
        <w:t xml:space="preserve">5.3.</w:t>
      </w:r>
      <w:r>
        <w:t xml:space="preserve"> Должна быть предусмотрена непрерывная диагностика SDR, Ethernet CRC/drops и целостности прошивки с аварийными сообщениями.</w:t>
      </w:r>
    </w:p>
    <w:p>
      <w:r>
        <w:rPr>
          <w:b/>
        </w:rPr>
        <w:t xml:space="preserve">5.4.</w:t>
      </w:r>
      <w:r>
        <w:t xml:space="preserve"> Должна быть предусмотрена пассивная технологическая B2B-плата для автоматизированного 100% входного/выходного производственного контроля SerDes, GPIO, Clock, Power и I2C.</w:t>
      </w:r>
    </w:p>
    <w:p>
      <w:pPr>
        <w:pStyle w:val="Heading1"/>
      </w:pPr>
      <w:r>
        <w:t xml:space="preserve">6. Требования к сырью, материалам и комплектующим</w:t>
      </w:r>
    </w:p>
    <w:p>
      <w:r>
        <w:rPr>
          <w:b/>
        </w:rPr>
        <w:t xml:space="preserve">6.1.</w:t>
      </w:r>
      <w:r>
        <w:t xml:space="preserve"> Следует предусмотреть приоритет отечественных материалов и компонентов. При отсутствии аналогов допускается импортная ЭКБ промышленного температурного диапазона.</w:t>
      </w:r>
    </w:p>
    <w:p>
      <w:pPr>
        <w:pStyle w:val="Heading1"/>
      </w:pPr>
      <w:r>
        <w:t xml:space="preserve">7. Упаковка и маркировка</w:t>
      </w:r>
    </w:p>
    <w:p>
      <w:r>
        <w:rPr>
          <w:b/>
        </w:rPr>
        <w:t xml:space="preserve">7.1.</w:t>
      </w:r>
      <w:r>
        <w:t xml:space="preserve"> Маркировка должна содержать децимальный номер, серийный номер и ревизию.</w:t>
      </w:r>
    </w:p>
    <w:p>
      <w:r>
        <w:rPr>
          <w:b/>
        </w:rPr>
        <w:t xml:space="preserve">7.2.</w:t>
      </w:r>
      <w:r>
        <w:t xml:space="preserve"> Должна применяться индивидуальная тара с ESD-защитой. Хранение в заводской таре — не менее 1 года по ГОСТ 15150. Незаданные условия не устанавливаются.</w:t>
      </w:r>
    </w:p>
    <w:p>
      <w:pPr>
        <w:pStyle w:val="Heading1"/>
      </w:pPr>
      <w:r>
        <w:t xml:space="preserve">8. Специальные требования</w:t>
      </w:r>
    </w:p>
    <w:p>
      <w:r>
        <w:rPr>
          <w:b/>
        </w:rPr>
        <w:t xml:space="preserve">8.1.</w:t>
      </w:r>
      <w:r>
        <w:t xml:space="preserve"> РМО (C++/Qt) через MMC и ShMC должно получать тип субплаты, состояние M0–M7, ток, температуру ПЛИС и статусы «Норма», «Предавария», «Авария».</w:t>
      </w:r>
    </w:p>
    <w:p>
      <w:r>
        <w:rPr>
          <w:b/>
        </w:rPr>
        <w:t xml:space="preserve">8.2.</w:t>
      </w:r>
      <w:r>
        <w:t xml:space="preserve"> РМО должно обеспечивать команды безопасной подготовки к извлечению, Reset и обновления Flash.</w:t>
      </w:r>
    </w:p>
    <w:p>
      <w:pPr>
        <w:pStyle w:val="Heading1"/>
      </w:pPr>
      <w:r>
        <w:t xml:space="preserve">9. Критерии приёмки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t xml:space="preserve">№</w:t>
            </w:r>
          </w:p>
        </w:tc>
        <w:tc>
          <w:tcPr>
            <w:tcW w:w="0" w:type="auto"/>
            <w:shd w:fill="D9EAF7"/>
          </w:tcPr>
          <w:p>
            <w:r>
              <w:t xml:space="preserve">Требования</w:t>
            </w:r>
          </w:p>
        </w:tc>
        <w:tc>
          <w:tcPr>
            <w:tcW w:w="0" w:type="auto"/>
            <w:shd w:fill="D9EAF7"/>
          </w:tcPr>
          <w:p>
            <w:r>
              <w:t xml:space="preserve">Способ проверки и условие</w:t>
            </w:r>
          </w:p>
        </w:tc>
        <w:tc>
          <w:tcPr>
            <w:tcW w:w="0" w:type="auto"/>
            <w:shd w:fill="D9EAF7"/>
          </w:tcPr>
          <w:p>
            <w:r>
              <w:t xml:space="preserve">Критерий приёмки</w:t>
            </w:r>
          </w:p>
        </w:tc>
      </w:tr>
      <w:tr>
        <w:tc>
          <w:tcPr>
            <w:tcW w:w="0" w:type="auto"/>
          </w:tcPr>
          <w:p>
            <w:r>
              <w:t xml:space="preserve">9.1</w:t>
            </w:r>
          </w:p>
        </w:tc>
        <w:tc>
          <w:tcPr>
            <w:tcW w:w="0" w:type="auto"/>
          </w:tcPr>
          <w:p>
            <w:r>
              <w:t xml:space="preserve">3.1.1–3.1.5</w:t>
            </w:r>
          </w:p>
        </w:tc>
        <w:tc>
          <w:tcPr>
            <w:tcW w:w="0" w:type="auto"/>
          </w:tcPr>
          <w:p>
            <w:r>
              <w:t xml:space="preserve">Инспекция РКД, состава образца и B2B; измерение/контроль параметров B2B.</w:t>
            </w:r>
          </w:p>
        </w:tc>
        <w:tc>
          <w:tcPr>
            <w:tcW w:w="0" w:type="auto"/>
          </w:tcPr>
          <w:p>
            <w:r>
              <w:t xml:space="preserve">Подтверждены допустимый вариант ПЛИС/SoC, DDR3/DDR4 не менее 1 Гбайт, Flash не менее 128 Мбайт, Multi-Boot, Golden Image, питание MMC и основной части, AMC Card Edge, B2B и все перечисленные в 3.1.4–3.1.5 линии и параметры.</w:t>
            </w:r>
          </w:p>
        </w:tc>
      </w:tr>
      <w:tr>
        <w:tc>
          <w:tcPr>
            <w:tcW w:w="0" w:type="auto"/>
          </w:tcPr>
          <w:p>
            <w:r>
              <w:t xml:space="preserve">9.2</w:t>
            </w:r>
          </w:p>
        </w:tc>
        <w:tc>
          <w:tcPr>
            <w:tcW w:w="0" w:type="auto"/>
          </w:tcPr>
          <w:p>
            <w:r>
              <w:t xml:space="preserve">3.2.1–3.2.2</w:t>
            </w:r>
          </w:p>
        </w:tc>
        <w:tc>
          <w:tcPr>
            <w:tcW w:w="0" w:type="auto"/>
          </w:tcPr>
          <w:p>
            <w:r>
              <w:t xml:space="preserve">Функциональное испытание с каждым типом субплаты E1, STM-1, C37.94, RS-485 и E2/E3 при дежурном питании.</w:t>
            </w:r>
          </w:p>
        </w:tc>
        <w:tc>
          <w:tcPr>
            <w:tcW w:w="0" w:type="auto"/>
          </w:tcPr>
          <w:p>
            <w:r>
              <w:t xml:space="preserve">MMC либо первичный загрузчик считывает Board ID; автоматически выбирается bitstream нужного интерфейса. EEPROM содержит Board ID, ревизию и калибровки.</w:t>
            </w:r>
          </w:p>
        </w:tc>
      </w:tr>
      <w:tr>
        <w:tc>
          <w:tcPr>
            <w:tcW w:w="0" w:type="auto"/>
          </w:tcPr>
          <w:p>
            <w:r>
              <w:t xml:space="preserve">9.3</w:t>
            </w:r>
          </w:p>
        </w:tc>
        <w:tc>
          <w:tcPr>
            <w:tcW w:w="0" w:type="auto"/>
          </w:tcPr>
          <w:p>
            <w:r>
              <w:t xml:space="preserve">3.2.3</w:t>
            </w:r>
          </w:p>
        </w:tc>
        <w:tc>
          <w:tcPr>
            <w:tcW w:w="0" w:type="auto"/>
          </w:tcPr>
          <w:p>
            <w:r>
              <w:t xml:space="preserve">Функциональное испытание с имитацией сбоя загрузки, CRC32 и ошибки прошивки.</w:t>
            </w:r>
          </w:p>
        </w:tc>
        <w:tc>
          <w:tcPr>
            <w:tcW w:w="0" w:type="auto"/>
          </w:tcPr>
          <w:p>
            <w:r>
              <w:t xml:space="preserve">В каждом случае выполняются автоматический fallback, запуск Base 1GbE и диагностика в РМО.</w:t>
            </w:r>
          </w:p>
        </w:tc>
      </w:tr>
      <w:tr>
        <w:tc>
          <w:tcPr>
            <w:tcW w:w="0" w:type="auto"/>
          </w:tcPr>
          <w:p>
            <w:r>
              <w:t xml:space="preserve">9.4</w:t>
            </w:r>
          </w:p>
        </w:tc>
        <w:tc>
          <w:tcPr>
            <w:tcW w:w="0" w:type="auto"/>
          </w:tcPr>
          <w:p>
            <w:r>
              <w:t xml:space="preserve">3.2.4–3.2.5</w:t>
            </w:r>
          </w:p>
        </w:tc>
        <w:tc>
          <w:tcPr>
            <w:tcW w:w="0" w:type="auto"/>
          </w:tcPr>
          <w:p>
            <w:r>
              <w:t xml:space="preserve">Функциональное испытание MMC при отсутствии +12 В и при сбое/обновлении ПЛИС; проверка E-Keying и состояния передатчиков.</w:t>
            </w:r>
          </w:p>
        </w:tc>
        <w:tc>
          <w:tcPr>
            <w:tcW w:w="0" w:type="auto"/>
          </w:tcPr>
          <w:p>
            <w:r>
              <w:t xml:space="preserve">Управление сохраняется; обеспечены M0–M7, IPMB-L к IPMC Carrier, динамический FRU, E-Keying и Hot-Swap. Передатчики Fabric и Base включаются только после успешного E-Keying; Fabric и Base имеют указанные интерфейсы и назначения.</w:t>
            </w:r>
          </w:p>
        </w:tc>
      </w:tr>
      <w:tr>
        <w:tc>
          <w:tcPr>
            <w:tcW w:w="0" w:type="auto"/>
          </w:tcPr>
          <w:p>
            <w:r>
              <w:t xml:space="preserve">9.5</w:t>
            </w:r>
          </w:p>
        </w:tc>
        <w:tc>
          <w:tcPr>
            <w:tcW w:w="0" w:type="auto"/>
          </w:tcPr>
          <w:p>
            <w:r>
              <w:t xml:space="preserve">3.3.1–3.3.2</w:t>
            </w:r>
          </w:p>
        </w:tc>
        <w:tc>
          <w:tcPr>
            <w:tcW w:w="0" w:type="auto"/>
          </w:tcPr>
          <w:p>
            <w:r>
              <w:t xml:space="preserve">Измерение мощности базовой платы и сборки; измерение момента снятия +12 В при размыкании PS1#.</w:t>
            </w:r>
          </w:p>
        </w:tc>
        <w:tc>
          <w:tcPr>
            <w:tcW w:w="0" w:type="auto"/>
          </w:tcPr>
          <w:p>
            <w:r>
              <w:t xml:space="preserve">Не более 40 Вт для базовой платы, не более 60 Вт штатно и не более 80 Вт пиково для сборки; +12 В аппаратно снято не позднее 100 мкс.</w:t>
            </w:r>
          </w:p>
        </w:tc>
      </w:tr>
      <w:tr>
        <w:tc>
          <w:tcPr>
            <w:tcW w:w="0" w:type="auto"/>
          </w:tcPr>
          <w:p>
            <w:r>
              <w:t xml:space="preserve">9.6</w:t>
            </w:r>
          </w:p>
        </w:tc>
        <w:tc>
          <w:tcPr>
            <w:tcW w:w="0" w:type="auto"/>
          </w:tcPr>
          <w:p>
            <w:r>
              <w:t xml:space="preserve">3.3.3–3.3.4</w:t>
            </w:r>
          </w:p>
        </w:tc>
        <w:tc>
          <w:tcPr>
            <w:tcW w:w="0" w:type="auto"/>
          </w:tcPr>
          <w:p>
            <w:r>
              <w:t xml:space="preserve">Функциональная проверка путей TCLKA/TCLKC и восстановленной частоты; измерение генератора SerDes 10GbE.</w:t>
            </w:r>
          </w:p>
        </w:tc>
        <w:tc>
          <w:tcPr>
            <w:tcW w:w="0" w:type="auto"/>
          </w:tcPr>
          <w:p>
            <w:r>
              <w:t xml:space="preserve">TCLKA/TCLKC распределены на ПЛИС и субплату; восстановленная частота поступает через управляемый буфер в выделенный TCLK Carrier; частота 156,25 МГц, RMS фазовый джиттер не более 300 фс в полосе 12 кГц…20 МГц.</w:t>
            </w:r>
          </w:p>
        </w:tc>
      </w:tr>
      <w:tr>
        <w:tc>
          <w:tcPr>
            <w:tcW w:w="0" w:type="auto"/>
          </w:tcPr>
          <w:p>
            <w:r>
              <w:t xml:space="preserve">9.7</w:t>
            </w:r>
          </w:p>
        </w:tc>
        <w:tc>
          <w:tcPr>
            <w:tcW w:w="0" w:type="auto"/>
          </w:tcPr>
          <w:p>
            <w:r>
              <w:t xml:space="preserve">3.4.1–3.4.5</w:t>
            </w:r>
          </w:p>
        </w:tc>
        <w:tc>
          <w:tcPr>
            <w:tcW w:w="0" w:type="auto"/>
          </w:tcPr>
          <w:p>
            <w:r>
              <w:t xml:space="preserve">Контроль габаритов и конструкции; испытания/расчётные подтверждения стойкости, радиопомех, надёжности согласно указанным требованиям.</w:t>
            </w:r>
          </w:p>
        </w:tc>
        <w:tc>
          <w:tcPr>
            <w:tcW w:w="0" w:type="auto"/>
          </w:tcPr>
          <w:p>
            <w:r>
              <w:t xml:space="preserve">Подтверждены конструкция Single Full-size AMC.0, размеры, высота, стойки, теплоотвод, крепление и параметры среды/механических воздействий/радиопомех по 3.4.4–3.4.5; MTBF не менее 15 000 ч, срок службы не менее 20 лет.</w:t>
            </w:r>
          </w:p>
        </w:tc>
      </w:tr>
      <w:tr>
        <w:tc>
          <w:tcPr>
            <w:tcW w:w="0" w:type="auto"/>
          </w:tcPr>
          <w:p>
            <w:r>
              <w:t xml:space="preserve">9.8</w:t>
            </w:r>
          </w:p>
        </w:tc>
        <w:tc>
          <w:tcPr>
            <w:tcW w:w="0" w:type="auto"/>
          </w:tcPr>
          <w:p>
            <w:r>
              <w:t xml:space="preserve">5.3–5.4</w:t>
            </w:r>
          </w:p>
        </w:tc>
        <w:tc>
          <w:tcPr>
            <w:tcW w:w="0" w:type="auto"/>
          </w:tcPr>
          <w:p>
            <w:r>
              <w:t xml:space="preserve">Функциональная проверка непрерывной диагностики и производственного контроля с технологической B2B-платой.</w:t>
            </w:r>
          </w:p>
        </w:tc>
        <w:tc>
          <w:tcPr>
            <w:tcW w:w="0" w:type="auto"/>
          </w:tcPr>
          <w:p>
            <w:r>
              <w:t xml:space="preserve">Формируются аварийные сообщения по SDR, Ethernet CRC/drops и целостности прошивки; обеспечен автоматизированный 100% входной/выходной контроль SerDes, GPIO, Clock, Power и I2C.</w:t>
            </w:r>
          </w:p>
        </w:tc>
      </w:tr>
    </w:tbl>
    <w:p>
      <w:r>
        <w:t xml:space="preserve">Параметры испытательного оборудования, длительности испытаний, методики измерений и численные допустимые погрешности не заданы; они должны быть определены в КД и ПМИ. Это не отменяет приведённых наблюдаемых критериев.</w:t>
      </w:r>
    </w:p>
    <w:p>
      <w:pPr>
        <w:pStyle w:val="Heading1"/>
      </w:pPr>
      <w:r>
        <w:t xml:space="preserve">10. Открытые вопросы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t xml:space="preserve">Вопрос / отсутствующая информация</w:t>
            </w:r>
          </w:p>
        </w:tc>
        <w:tc>
          <w:tcPr>
            <w:tcW w:w="0" w:type="auto"/>
            <w:shd w:fill="D9EAF7"/>
          </w:tcPr>
          <w:p>
            <w:r>
              <w:t xml:space="preserve">Зависимость и источник разрешения</w:t>
            </w:r>
          </w:p>
        </w:tc>
      </w:tr>
      <w:tr>
        <w:tc>
          <w:tcPr>
            <w:tcW w:w="0" w:type="auto"/>
          </w:tcPr>
          <w:p>
            <w:r>
              <w:t xml:space="preserve">Конкретное семейство ПЛИС/SoC.</w:t>
            </w:r>
          </w:p>
        </w:tc>
        <w:tc>
          <w:tcPr>
            <w:tcW w:w="0" w:type="auto"/>
          </w:tcPr>
          <w:p>
            <w:r>
              <w:t xml:space="preserve">Необходимо для выбора компонента в РКД; исходные требования допускают Zynq-7000, Kintex-7, Ultrascale+ либо аналог и не устанавливают обязательный выбор.</w:t>
            </w:r>
          </w:p>
        </w:tc>
      </w:tr>
      <w:tr>
        <w:tc>
          <w:tcPr>
            <w:tcW w:w="0" w:type="auto"/>
          </w:tcPr>
          <w:p>
            <w:r>
              <w:t xml:space="preserve">Карта B2B и соответствия Board ID типам субплат.</w:t>
            </w:r>
          </w:p>
        </w:tc>
        <w:tc>
          <w:tcPr>
            <w:tcW w:w="0" w:type="auto"/>
          </w:tcPr>
          <w:p>
            <w:r>
              <w:t xml:space="preserve">Необходимы для выпуска РКД и реализации автоматического выбора bitstream; должны быть определены разработчиком/заказчиком при детализации РКД.</w:t>
            </w:r>
          </w:p>
        </w:tc>
      </w:tr>
      <w:tr>
        <w:tc>
          <w:tcPr>
            <w:tcW w:w="0" w:type="auto"/>
          </w:tcPr>
          <w:p>
            <w:r>
              <w:t xml:space="preserve">Допустимые погрешности измерений питания, тока и температуры ПЛИС.</w:t>
            </w:r>
          </w:p>
        </w:tc>
        <w:tc>
          <w:tcPr>
            <w:tcW w:w="0" w:type="auto"/>
          </w:tcPr>
          <w:p>
            <w:r>
              <w:t xml:space="preserve">Необходимы для методик калибровки и полного количественного критерия 5.2; значения должны быть определены в КД.</w:t>
            </w:r>
          </w:p>
        </w:tc>
      </w:tr>
      <w:tr>
        <w:tc>
          <w:tcPr>
            <w:tcW w:w="0" w:type="auto"/>
          </w:tcPr>
          <w:p>
            <w:r>
              <w:t xml:space="preserve">Календарные сроки.</w:t>
            </w:r>
          </w:p>
        </w:tc>
        <w:tc>
          <w:tcPr>
            <w:tcW w:w="0" w:type="auto"/>
          </w:tcPr>
          <w:p>
            <w:r>
              <w:t xml:space="preserve">Необходимы для планирования ОКР; должны быть установлены утверждённым планом-графиком.</w:t>
            </w:r>
          </w:p>
        </w:tc>
      </w:tr>
      <w:tr>
        <w:tc>
          <w:tcPr>
            <w:tcW w:w="0" w:type="auto"/>
          </w:tcPr>
          <w:p>
            <w:r>
              <w:t xml:space="preserve">Реквизиты приказа, исполнителя, согласования, утверждения, подписи, даты, место составления.</w:t>
            </w:r>
          </w:p>
        </w:tc>
        <w:tc>
          <w:tcPr>
            <w:tcW w:w="0" w:type="auto"/>
          </w:tcPr>
          <w:p>
            <w:r>
              <w:t xml:space="preserve">Необходимы для административного оформления и утверждения ТЗ; должны быть предоставлены заказчиком/организациями-участниками.</w:t>
            </w:r>
          </w:p>
        </w:tc>
      </w:tr>
    </w:tbl>
    <w:sectPr>
      <w:pgSz w:w="11906" w:h="16838"/>
      <w:pgMar w:top="1134" w:right="850" w:bottom="1020" w:left="1134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Liberation Serif" w:hAnsi="Liberation Serif" w:cs="Liberation Serif"/>
      <w:sz w:val="22"/>
    </w:rPr>
  </w:style>
  <w:style w:type="paragraph" w:styleId="Title">
    <w:name w:val="Title"/>
    <w:basedOn w:val="Normal"/>
    <w:pPr>
      <w:jc w:val="center"/>
      <w:spacing w:before="200" w:after="200"/>
    </w:pPr>
    <w:rPr>
      <w:b/>
      <w:sz w:val="32"/>
    </w:rPr>
  </w:style>
  <w:style w:type="paragraph" w:styleId="Heading1">
    <w:name w:val="heading 1"/>
    <w:basedOn w:val="Normal"/>
    <w:pPr>
      <w:spacing w:before="260" w:after="120"/>
    </w:pPr>
    <w:rPr>
      <w:b/>
      <w:sz w:val="28"/>
    </w:rPr>
  </w:style>
  <w:style w:type="paragraph" w:styleId="Heading2">
    <w:name w:val="heading 2"/>
    <w:basedOn w:val="Normal"/>
    <w:pPr>
      <w:spacing w:before="180" w:after="100"/>
    </w:pPr>
    <w:rPr>
      <w:b/>
      <w:sz w:val="24"/>
    </w:rPr>
  </w:style>
  <w:style w:type="paragraph" w:styleId="List">
    <w:name w:val="List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>
  <dc:title>Техническое задание — Развитие-ТСА</dc:title>
  <dc:language>ru-RU</dc:language>
</cp:coreProperties>
</file>