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jc ns0:val="right"/>
      </ns0:pPr>
      <ns0:r>
        <ns0:rPr>
          <ns0:sz ns0:val="22"/>
          <ns0:szCs ns0:val="22"/>
        </ns0:rPr>
        <ns0:t>УТВЕРЖДЕНО</ns0:t>
      </ns0:r>
    </ns0:p>
    <ns0:p>
      <ns0:pPr>
        <ns0:jc ns0:val="right"/>
      </ns0:pPr>
      <ns0:r>
        <ns0:rPr>
          <ns0:sz ns0:val="22"/>
          <ns0:szCs ns0:val="22"/>
        </ns0:rPr>
        <ns0:t>[должность утверждающего лица]</ns0:t>
      </ns0:r>
    </ns0:p>
    <ns0:p>
      <ns0:pPr>
        <ns0:jc ns0:val="right"/>
      </ns0:pPr>
      <ns0:r>
        <ns0:rPr>
          <ns0:sz ns0:val="22"/>
          <ns0:szCs ns0:val="22"/>
        </ns0:rPr>
        <ns0:t>[подпись]   [ФИО]</ns0:t>
      </ns0:r>
    </ns0:p>
    <ns0:p>
      <ns0:pPr>
        <ns0:jc ns0:val="right"/>
      </ns0:pPr>
      <ns0:r>
        <ns0:rPr>
          <ns0:sz ns0:val="22"/>
          <ns0:szCs ns0:val="22"/>
        </ns0:rPr>
        <ns0:t>«___» __________ 20__ г.</ns0:t>
      </ns0:r>
    </ns0:p>
    <ns0:p>
      <ns0:pPr>
        <ns0:jc ns0:val="center"/>
      </ns0:pPr>
      <ns0:r>
        <ns0:rPr>
          <ns0:sz ns0:val="22"/>
          <ns0:szCs ns0:val="22"/>
        </ns0:rPr>
        <ns0:t>Универсальный базовый модуль AMC семейства ДММП</ns0:t>
      </ns0:r>
    </ns0:p>
    <ns0:p>
      <ns0:pPr>
        <ns0:pStyle ns0:val="Heading1"/>
      </ns0:pPr>
      <ns0:r>
        <ns0:rPr>
          <ns0:sz ns0:val="32"/>
          <ns0:szCs ns0:val="32"/>
        </ns0:rPr>
        <ns0:t>ТЕХНИЧЕСКОЕ ЗАДАНИЕ</ns0:t>
      </ns0:r>
    </ns0:p>
    <ns0:p>
      <ns0:pPr>
        <ns0:jc ns0:val="center"/>
      </ns0:pPr>
      <ns0:r>
        <ns0:rPr>
          <ns0:sz ns0:val="22"/>
          <ns0:szCs ns0:val="22"/>
        </ns0:rPr>
        <ns0:t>на разработку сменной интерфейсной субплаты 4×IEEE C37.94</ns0:t>
      </ns0:r>
      <ns0:r>
        <ns0:br/>
        <ns0:br/>
      </ns0:r>
      <ns0:r>
        <ns0:rPr>
          <ns0:sz ns0:val="22"/>
          <ns0:szCs ns0:val="22"/>
        </ns0:rPr>
        <ns0:t>и функционального модуля релейной защиты</ns0:t>
      </ns0:r>
    </ns0:p>
    <ns0:tbl>
      <ns0:tblPr>
        <ns0:tblW ns0:type="dxa" ns0:w="9000"/>
      </ns0:tblP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Обозначение документа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[уточнить]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Шифр ОКР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«Развитие-ТСА»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Стадия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[уточнить]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Регистрационный номер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[уточнить]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Дата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[уточнить]</ns0:t>
            </ns0:r>
          </ns0:p>
        </ns0:tc>
      </ns0:tr>
    </ns0:tbl>
    <ns0:p>
      <ns0:pPr>
        <ns0:jc ns0:val="center"/>
      </ns0:pPr>
      <ns0:r>
        <ns0:rPr>
          <ns0:sz ns0:val="22"/>
          <ns0:szCs ns0:val="22"/>
        </ns0:rPr>
        <ns0:t>СОГЛАСОВАНО</ns0:t>
      </ns0:r>
    </ns0:p>
    <ns0:tbl>
      <ns0:tblPr>
        <ns0:tblW ns0:type="dxa" ns0:w="9000"/>
      </ns0:tblP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Организация / должность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Подпись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ФИО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Дата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Заказчик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[подпись]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[ФИО]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[уточнить]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Головной исполнитель ОКР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[подпись]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[ФИО]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[уточнить]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Исполнитель СЧ ОКР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[подпись]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[ФИО]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[уточнить]</ns0:t>
            </ns0:r>
          </ns0:p>
        </ns0:tc>
      </ns0:tr>
    </ns0:tbl>
    <ns0:p>
      <ns0:pPr>
        <ns0:jc ns0:val="center"/>
      </ns0:pPr>
      <ns0:r>
        <ns0:rPr>
          <ns0:sz ns0:val="22"/>
          <ns0:szCs ns0:val="22"/>
        </ns0:rPr>
        <ns0:t>Москва</ns0:t>
      </ns0:r>
      <ns0:r>
        <ns0:br/>
        <ns0:br/>
      </ns0:r>
      <ns0:r>
        <ns0:rPr>
          <ns0:sz ns0:val="22"/>
          <ns0:szCs ns0:val="22"/>
        </ns0:rPr>
        <ns0:t>20__</ns0:t>
      </ns0:r>
    </ns0:p>
    <ns0:p>
      <ns0:r>
        <ns0:br ns0:type="page"/>
      </ns0:r>
    </ns0:p>
    <ns0:p>
      <ns0:pPr>
        <ns0:pStyle ns0:val="Heading1"/>
      </ns0:pPr>
      <ns0:r>
        <ns0:rPr>
          <ns0:sz ns0:val="32"/>
          <ns0:szCs ns0:val="32"/>
        </ns0:rPr>
        <ns0:t>ЛИСТ СОГЛАСОВАНИЯ</ns0:t>
      </ns0:r>
    </ns0:p>
    <ns0:p>
      <ns0:pPr>
        <ns0:jc ns0:val="center"/>
      </ns0:pPr>
      <ns0:r>
        <ns0:rPr>
          <ns0:sz ns0:val="22"/>
          <ns0:szCs ns0:val="22"/>
        </ns0:rPr>
        <ns0:t>Техническое задание на разработку сменной интерфейсной субплаты 4×IEEE C37.94 и функционального модуля релейной защиты</ns0:t>
      </ns0:r>
    </ns0:p>
    <ns0:tbl>
      <ns0:tblPr>
        <ns0:tblW ns0:type="dxa" ns0:w="9000"/>
      </ns0:tblP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Сторона согласования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Должность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Подпись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ФИО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Дата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Заказчик / НИО заказчика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[уточнить]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[подпись]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[ФИО]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[уточнить]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Головной исполнитель ОКР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[уточнить]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[подпись]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[ФИО]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[уточнить]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Исполнитель СЧ ОКР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[уточнить]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[подпись]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[ФИО]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[уточнить]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Иная организация (при необходимости)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[уточнить]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[подпись]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[ФИО]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[уточнить]</ns0:t>
            </ns0:r>
          </ns0:p>
        </ns0:tc>
      </ns0:tr>
    </ns0:tbl>
    <ns0:p>
      <ns0:pPr/>
      <ns0:r>
        <ns0:rPr>
          <ns0:sz ns0:val="22"/>
          <ns0:szCs ns0:val="22"/>
          <ns0:i/>
        </ns0:rPr>
        <ns0:t>Примечание. Состав согласующих организаций и уровень должностных лиц подлежат уточнению в порядке ГОСТ 15.016-2016, 7.2.</ns0:t>
      </ns0:r>
    </ns0:p>
    <ns0:p>
      <ns0:r>
        <ns0:br ns0:type="page"/>
      </ns0:r>
    </ns0:p>
    <ns0:p>
      <ns0:pPr>
        <ns0:pStyle ns0:val="Heading1"/>
      </ns0:pPr>
      <ns0:r>
        <ns0:rPr>
          <ns0:sz ns0:val="32"/>
          <ns0:szCs ns0:val="32"/>
        </ns0:rPr>
        <ns0:t>ПЕРЕЧЕНЬ ТЕРМИНОВ И СОКРАЩЕНИЙ</ns0:t>
      </ns0:r>
    </ns0:p>
    <ns0:tbl>
      <ns0:tblPr>
        <ns0:tblW ns0:type="dxa" ns0:w="9000"/>
      </ns0:tblP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Термин / сокращение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Расшифровка / значение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AMC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Advanced Mezzanine Card; стандартный мезонинный модуль.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ПЛИС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программируемая логическая интегральная схема.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B2B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Board-to-Board; межплатное соединение.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Board ID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идентификатор сменной платы.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MMC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Module Management Controller; контроллер управления модулем.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РМО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рабочее место оператора.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ОКР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опытно-конструкторская работа.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РКД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рабочая конструкторская документация.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ПМИ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программа и методика испытаний.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СЧ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составная часть.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ДММП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обозначение семейства универсальных базовых модулей; расшифровка [уточнить].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РЗА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релейная защита и автоматика.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ДЗЛ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дифференциальная защита линий.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ДФЗ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дифференциально-фазная защита.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ПА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противоаварийная автоматика.</ns0:t>
            </ns0:r>
          </ns0:p>
        </ns0:tc>
      </ns0:tr>
    </ns0:tbl>
    <ns0:p>
      <ns0:r>
        <ns0:br ns0:type="page"/>
      </ns0:r>
    </ns0:p>
    <ns0:p>
      <ns0:pPr>
        <ns0:pStyle ns0:val="Heading1"/>
      </ns0:pPr>
      <ns0:r>
        <ns0:rPr>
          <ns0:sz ns0:val="32"/>
          <ns0:szCs ns0:val="32"/>
        </ns0:rPr>
        <ns0:t>ПЕРЕЧЕНЬ ПРИМЕНИМЫХ НОРМАТИВНЫХ И СПРАВОЧНЫХ ДОКУМЕНТОВ</ns0:t>
      </ns0:r>
    </ns0:p>
    <ns0:p>
      <ns0:pPr>
        <ns0:numPr>
          <ns0:ilvl ns0:val="0"/>
          <ns0:ilvl ns0:val="0"/>
          <ns0:numId ns0:val="1"/>
          <ns0:numId ns0:val="1"/>
        </ns0:numPr>
      </ns0:pPr>
      <ns0:r>
        <ns0:rPr>
          <ns0:sz ns0:val="22"/>
          <ns0:szCs ns0:val="22"/>
        </ns0:rPr>
        <ns0:t>ГОСТ 15.016-2016 «Система разработки и постановки продукции на производство. Техническое задание. Требования к содержанию и оформлению» (разделы 6.1, 6.2 и 7.1).</ns0:t>
      </ns0:r>
    </ns0:p>
    <ns0:p>
      <ns0:pPr>
        <ns0:numPr>
          <ns0:ilvl ns0:val="0"/>
          <ns0:ilvl ns0:val="0"/>
          <ns0:numId ns0:val="1"/>
          <ns0:numId ns0:val="1"/>
        </ns0:numPr>
      </ns0:pPr>
      <ns0:r>
        <ns0:rPr>
          <ns0:sz ns0:val="22"/>
          <ns0:szCs ns0:val="22"/>
        </ns0:rPr>
        <ns0:t>IEEE C37.94-2017; совместимость с IEEE C37.94-2002.</ns0:t>
      </ns0:r>
    </ns0:p>
    <ns0:p>
      <ns0:pPr>
        <ns0:numPr>
          <ns0:ilvl ns0:val="0"/>
          <ns0:ilvl ns0:val="0"/>
          <ns0:numId ns0:val="1"/>
          <ns0:numId ns0:val="1"/>
        </ns0:numPr>
      </ns0:pPr>
      <ns0:r>
        <ns0:rPr>
          <ns0:sz ns0:val="22"/>
          <ns0:szCs ns0:val="22"/>
        </ns0:rPr>
        <ns0:t>ITU-T G.823.</ns0:t>
      </ns0:r>
    </ns0:p>
    <ns0:p>
      <ns0:pPr>
        <ns0:numPr>
          <ns0:ilvl ns0:val="0"/>
          <ns0:ilvl ns0:val="0"/>
          <ns0:numId ns0:val="1"/>
          <ns0:numId ns0:val="1"/>
        </ns0:numPr>
      </ns0:pPr>
      <ns0:r>
        <ns0:rPr>
          <ns0:sz ns0:val="22"/>
          <ns0:szCs ns0:val="22"/>
        </ns0:rPr>
        <ns0:t>SFF-8472.</ns0:t>
      </ns0:r>
    </ns0:p>
    <ns0:p>
      <ns0:pPr>
        <ns0:numPr>
          <ns0:ilvl ns0:val="0"/>
          <ns0:ilvl ns0:val="0"/>
          <ns0:numId ns0:val="1"/>
          <ns0:numId ns0:val="1"/>
        </ns0:numPr>
      </ns0:pPr>
      <ns0:r>
        <ns0:rPr>
          <ns0:sz ns0:val="22"/>
          <ns0:szCs ns0:val="22"/>
        </ns0:rPr>
        <ns0:t>IEEE 802.1p/Q.</ns0:t>
      </ns0:r>
    </ns0:p>
    <ns0:p>
      <ns0:pPr>
        <ns0:numPr>
          <ns0:ilvl ns0:val="0"/>
          <ns0:ilvl ns0:val="0"/>
          <ns0:numId ns0:val="1"/>
          <ns0:numId ns0:val="1"/>
        </ns0:numPr>
      </ns0:pPr>
      <ns0:r>
        <ns0:rPr>
          <ns0:sz ns0:val="22"/>
          <ns0:szCs ns0:val="22"/>
        </ns0:rPr>
        <ns0:t>PICMG AMC.0 R2.0.</ns0:t>
      </ns0:r>
    </ns0:p>
    <ns0:p>
      <ns0:pPr>
        <ns0:numPr>
          <ns0:ilvl ns0:val="0"/>
          <ns0:ilvl ns0:val="0"/>
          <ns0:numId ns0:val="1"/>
          <ns0:numId ns0:val="1"/>
        </ns0:numPr>
      </ns0:pPr>
      <ns0:r>
        <ns0:rPr>
          <ns0:sz ns0:val="22"/>
          <ns0:szCs ns0:val="22"/>
        </ns0:rPr>
        <ns0:t>ГОСТ РВ 20.39.304-98.</ns0:t>
      </ns0:r>
    </ns0:p>
    <ns0:p>
      <ns0:pPr>
        <ns0:numPr>
          <ns0:ilvl ns0:val="0"/>
          <ns0:ilvl ns0:val="0"/>
          <ns0:numId ns0:val="1"/>
          <ns0:numId ns0:val="1"/>
        </ns0:numPr>
      </ns0:pPr>
      <ns0:r>
        <ns0:rPr>
          <ns0:sz ns0:val="22"/>
          <ns0:szCs ns0:val="22"/>
        </ns0:rPr>
        <ns0:t>ГОСТ В 25803-91.</ns0:t>
      </ns0:r>
    </ns0:p>
    <ns0:p>
      <ns0:pPr>
        <ns0:numPr>
          <ns0:ilvl ns0:val="0"/>
          <ns0:ilvl ns0:val="0"/>
          <ns0:numId ns0:val="1"/>
          <ns0:numId ns0:val="1"/>
        </ns0:numPr>
      </ns0:pPr>
      <ns0:r>
        <ns0:rPr>
          <ns0:sz ns0:val="22"/>
          <ns0:szCs ns0:val="22"/>
        </ns0:rPr>
        <ns0:t>ГОСТ 2.114-2016.</ns0:t>
      </ns0:r>
    </ns0:p>
    <ns0:p>
      <ns0:pPr>
        <ns0:numPr>
          <ns0:ilvl ns0:val="0"/>
          <ns0:ilvl ns0:val="0"/>
          <ns0:numId ns0:val="1"/>
          <ns0:numId ns0:val="1"/>
        </ns0:numPr>
      </ns0:pPr>
      <ns0:r>
        <ns0:rPr>
          <ns0:sz ns0:val="22"/>
          <ns0:szCs ns0:val="22"/>
        </ns0:rPr>
        <ns0:t>ГОСТ РВ 15.201-2003.</ns0:t>
      </ns0:r>
    </ns0:p>
    <ns0:p>
      <ns0:pPr>
        <ns0:numPr>
          <ns0:ilvl ns0:val="0"/>
          <ns0:ilvl ns0:val="0"/>
          <ns0:numId ns0:val="1"/>
          <ns0:numId ns0:val="1"/>
        </ns0:numPr>
      </ns0:pPr>
      <ns0:r>
        <ns0:rPr>
          <ns0:sz ns0:val="22"/>
          <ns0:szCs ns0:val="22"/>
        </ns0:rPr>
        <ns0:t>ГОСТ 15150.</ns0:t>
      </ns0:r>
    </ns0:p>
    <ns0:p>
      <ns0:pPr/>
      <ns0:r>
        <ns0:rPr>
          <ns0:sz ns0:val="22"/>
          <ns0:szCs ns0:val="22"/>
          <ns0:i/>
        </ns0:rPr>
        <ns0:t>Примечание. Действие и редакция документов подлежат проверке участниками ОКР. При замене или изменении ссылочного документа применяется заменяющий (изменённый) документ в части, не противоречащей настоящему ТЗ.</ns0:t>
      </ns0:r>
    </ns0:p>
    <ns0:p>
      <ns0:r>
        <ns0:br ns0:type="page"/>
      </ns0:r>
    </ns0:p>
    <ns0:p>
      <ns0:pPr>
        <ns0:pStyle ns0:val="Heading2"/>
      </ns0:pPr>
      <ns0:r>
        <ns0:rPr>
          <ns0:sz ns0:val="26"/>
          <ns0:szCs ns0:val="26"/>
        </ns0:rPr>
        <ns0:t>1 Наименование, шифр, основание, исполнители и сроки ОКР</ns0:t>
      </ns0:r>
    </ns0:p>
    <ns0:p>
      <ns0:pPr/>
      <ns0:r>
        <ns0:rPr>
          <ns0:sz ns0:val="22"/>
          <ns0:szCs ns0:val="22"/>
        </ns0:rPr>
        <ns0:t>1.1 Наименование работы: разработка сменной интерфейсной субплаты 4×IEEE C37.94 и функционального модуля релейной защиты для универсального базового модуля AMC семейства ДММП. Проверка: проверка наименования рабочей документации и образца.</ns0:t>
      </ns0:r>
    </ns0:p>
    <ns0:p>
      <ns0:pPr/>
      <ns0:r>
        <ns0:rPr>
          <ns0:sz ns0:val="22"/>
          <ns0:szCs ns0:val="22"/>
        </ns0:rPr>
        <ns0:t>1.2 Шифр ОКР — «Развитие-ТСА». Проверка: проверка по документам ОКР.</ns0:t>
      </ns0:r>
    </ns0:p>
    <ns0:p>
      <ns0:pPr/>
      <ns0:r>
        <ns0:rPr>
          <ns0:sz ns0:val="22"/>
          <ns0:szCs ns0:val="22"/>
        </ns0:rPr>
        <ns0:t>1.3 Основание — приказ об открытии инициативной ОКР № [уточнить] от [уточнить]. Проверка: проверка реквизитов после предоставления.</ns0:t>
      </ns0:r>
    </ns0:p>
    <ns0:p>
      <ns0:pPr/>
      <ns0:r>
        <ns0:rPr>
          <ns0:sz ns0:val="22"/>
          <ns0:szCs ns0:val="22"/>
        </ns0:rPr>
        <ns0:t>1.4 Исполнитель — [организация-исполнитель]. Заказчик, головной исполнитель и иные участники — [уточнить]. Проверка: проверка организационных документов.</ns0:t>
      </ns0:r>
    </ns0:p>
    <ns0:p>
      <ns0:pPr/>
      <ns0:r>
        <ns0:rPr>
          <ns0:sz ns0:val="22"/>
          <ns0:szCs ns0:val="22"/>
        </ns0:rPr>
        <ns0:t>1.5 Сроки выполнения установить по утверждённому плану-графику разработки РКД и программной документации, изготовления образцов и испытаний; календарные даты — [уточнить]. Проверка: анализ утверждённого плана-графика.</ns0:t>
      </ns0:r>
    </ns0:p>
    <ns0:p>
      <ns0:pPr/>
      <ns0:r>
        <ns0:rPr>
          <ns0:sz ns0:val="22"/>
          <ns0:szCs ns0:val="22"/>
          <ns0:i/>
        </ns0:rPr>
        <ns0:t>Примечание. Настоящее ТЗ является ТЗ на СЧ ОКР; сроки СЧ должны быть увязаны со сроками ОКР в целом согласно ГОСТ 15.016-2016, 7.1.2.</ns0:t>
      </ns0:r>
    </ns0:p>
    <ns0:p>
      <ns0:pPr>
        <ns0:pStyle ns0:val="Heading2"/>
      </ns0:pPr>
      <ns0:r>
        <ns0:rPr>
          <ns0:sz ns0:val="26"/>
          <ns0:szCs ns0:val="26"/>
        </ns0:rPr>
        <ns0:t>2 Цель выполнения, наименование, назначение и область применения изделия</ns0:t>
      </ns0:r>
    </ns0:p>
    <ns0:p>
      <ns0:pPr/>
      <ns0:r>
        <ns0:rPr>
          <ns0:sz ns0:val="22"/>
          <ns0:szCs ns0:val="22"/>
        </ns0:rPr>
        <ns0:t>2.1 Цель — обеспечить оптические каналы терминалов РЗА/ДЗЛ и ДФЗ, противоаварийной автоматики и регистраторов аварийных событий подстанций ДММП посредством прозрачной передачи N×64 кбит/с с фиксированной низкой задержкой, симметрией, резервированием P2 и безопасным аварийным поведением. Проверка: анализ и испытания передачи и аварийных режимов.</ns0:t>
      </ns0:r>
    </ns0:p>
    <ns0:p>
      <ns0:pPr/>
      <ns0:r>
        <ns0:rPr>
          <ns0:sz ns0:val="22"/>
          <ns0:szCs ns0:val="22"/>
        </ns0:rPr>
        <ns0:t>2.2 Изделие состоит из аппаратной и логической частей. Аппаратная часть включает сменную субплату, оптические интерфейсы, защитные цепи, трансиверы и EEPROM Board ID. Логическая часть включает функциональный модуль ПЛИС базовой платы, автоматически активируемый по Board ID. Проверка: осмотр состава, чтение Board ID и проверка активации.</ns0:t>
      </ns0:r>
    </ns0:p>
    <ns0:p>
      <ns0:pPr/>
      <ns0:r>
        <ns0:rPr>
          <ns0:sz ns0:val="22"/>
          <ns0:szCs ns0:val="22"/>
        </ns0:rPr>
        <ns0:t>2.3 Субплата устанавливается в AMC базовой платы и применяется на Carrier платформы ДММП. Связь с базовой платой — B2B; базовая плата предоставляет +12 В, +3,3 В, MMC, тактирование и автоматическую загрузку bitstream из Flash по Board ID. Проверка: контроль интерфейсов, питания и загрузки bitstream.</ns0:t>
      </ns0:r>
    </ns0:p>
    <ns0:p>
      <ns0:pPr>
        <ns0:pStyle ns0:val="Heading2"/>
      </ns0:pPr>
      <ns0:r>
        <ns0:rPr>
          <ns0:sz ns0:val="26"/>
          <ns0:szCs ns0:val="26"/>
        </ns0:rPr>
        <ns0:t>3 Технические требования к изделию</ns0:t>
      </ns0:r>
    </ns0:p>
    <ns0:p>
      <ns0:pPr>
        <ns0:pStyle ns0:val="Heading3"/>
      </ns0:pPr>
      <ns0:r>
        <ns0:rPr>
          <ns0:sz ns0:val="22"/>
          <ns0:szCs ns0:val="22"/>
        </ns0:rPr>
        <ns0:t>3.1 Архитектура и оптические интерфейсы</ns0:t>
      </ns0:r>
    </ns0:p>
    <ns0:p>
      <ns0:pPr/>
      <ns0:r>
        <ns0:rPr>
          <ns0:sz ns0:val="22"/>
          <ns0:szCs ns0:val="22"/>
        </ns0:rPr>
        <ns0:t>3.1.1 Субплата должна содержать четыре независимых оптических порта LC/SFP, трансиверы 850/1310 нм с CDR, защитные цепи, DDM/DOM, EEPROM Board ID 0x05 и индикацию. Проверка: осмотр, чтение EEPROM, проверка индикации и параметров.</ns0:t>
      </ns0:r>
    </ns0:p>
    <ns0:p>
      <ns0:pPr/>
      <ns0:r>
        <ns0:rPr>
          <ns0:sz ns0:val="22"/>
          <ns0:szCs ns0:val="22"/>
        </ns0:rPr>
        <ns0:t>3.1.2 На субплате должны быть четыре экранированные корзины SFP / дуплексные LC с отдельными волокнами TX/RX. Сохраняется альтернатива исполнения LC/SFP; окончательное исполнение — [уточнить]. Проверка: осмотр конструкции и раздельности TX/RX.</ns0:t>
      </ns0:r>
    </ns0:p>
    <ns0:p>
      <ns0:pPr/>
      <ns0:r>
        <ns0:rPr>
          <ns0:sz ns0:val="22"/>
          <ns0:szCs ns0:val="22"/>
        </ns0:rPr>
        <ns0:t>3.1.3 Для оптики 850 нм предусмотреть MM 50/125 или 62,5/125 мкм, дальность до 2 км. Для оптики 1310 нм предусмотреть SM 9/125 мкм, дальность 20–40 км. Проверка: анализ трансиверов и измерение передачи.</ns0:t>
      </ns0:r>
    </ns0:p>
    <ns0:p>
      <ns0:pPr/>
      <ns0:r>
        <ns0:rPr>
          <ns0:sz ns0:val="22"/>
          <ns0:szCs ns0:val="22"/>
        </ns0:rPr>
        <ns0:t>3.1.4 Сигналы TX_DISABLE, TX_FAULT и RX_LOS должны поддерживаться на каждом порту. Опрос DDM/DOM по I2C выполнять согласно SFF-8472; контролировать мощность TX/RX, температуру и ток лазера с передачей телеметрии в РМО. Проверка: проверка сигналов, I2C-опроса и телеметрии.</ns0:t>
      </ns0:r>
    </ns0:p>
    <ns0:p>
      <ns0:pPr/>
      <ns0:r>
        <ns0:rPr>
          <ns0:sz ns0:val="22"/>
          <ns0:szCs ns0:val="22"/>
        </ns0:rPr>
        <ns0:t>3.1.5 На каждом порту независимо должна поддерживаться передача N = 1…12 каналов по 64 кбит/с; полезная скорость — 64–768 кбит/с, кадровый поток — 2048 кбит/с. Проверка: подача N=1 и N=12 и измерение скоростей.</ns0:t>
      </ns0:r>
    </ns0:p>
    <ns0:p>
      <ns0:pPr/>
      <ns0:r>
        <ns0:rPr>
          <ns0:sz ns0:val="22"/>
          <ns0:szCs ns0:val="22"/>
        </ns0:rPr>
        <ns0:t>3.1.6 Протокол передачи — IEEE C37.94-2017 с совместимостью с IEEE C37.94-2002; пользовательские биты не должны изменяться или инвертироваться. Проверка: обмен с оборудованием обеих редакций и побитное сравнение.</ns0:t>
      </ns0:r>
    </ns0:p>
    <ns0:p>
      <ns0:pPr>
        <ns0:pStyle ns0:val="Heading3"/>
      </ns0:pPr>
      <ns0:r>
        <ns0:rPr>
          <ns0:sz ns0:val="22"/>
          <ns0:szCs ns0:val="22"/>
        </ns0:rPr>
        <ns0:t>3.2 Пакетная передача, резервирование и безопасные состояния</ns0:t>
      </ns0:r>
    </ns0:p>
    <ns0:p>
      <ns0:pPr/>
      <ns0:r>
        <ns0:rPr>
          <ns0:sz ns0:val="22"/>
          <ns0:szCs ns0:val="22"/>
        </ns0:rPr>
        <ns0:t>3.2.1 Реализовать C37.94-over-Packet по Ethernet L2 с фиксированным периодом пакетизации через Fabric 10GbE и Strict Priority QoS по IEEE 802.1p/Q. Проверка: анализ кадров и испытание при сетевой нагрузке.</ns0:t>
      </ns0:r>
    </ns0:p>
    <ns0:p>
      <ns0:pPr/>
      <ns0:r>
        <ns0:rPr>
          <ns0:sz ns0:val="22"/>
          <ns0:szCs ns0:val="22"/>
        </ns0:rPr>
        <ns0:t>3.2.2 L3/UDP/IP допускается при необходимости: с процессорным ядром SoC FPGA либо со статической аппаратной подстановкой заголовка. Окончательный вариант — [уточнить]. Проверка: проверка выбранного варианта по РКД и передача пакетов.</ns0:t>
      </ns0:r>
    </ns0:p>
    <ns0:p>
      <ns0:pPr/>
      <ns0:r>
        <ns0:rPr>
          <ns0:sz ns0:val="22"/>
          <ns0:szCs ns0:val="22"/>
        </ns0:rPr>
        <ns0:t>3.2.3 Задержка передачи должна быть фиксированной и детерминированной. Асимметрия прямого и обратного направлений — не более ±10 мкс во всём диапазоне температур и сетевой нагрузки. Проверка: измерение задержки и асимметрии; температурный режим и профиль нагрузки для ПМИ — [уточнить].</ns0:t>
      </ns0:r>
    </ns0:p>
    <ns0:p>
      <ns0:pPr/>
      <ns0:r>
        <ns0:rPr>
          <ns0:sz ns0:val="22"/>
          <ns0:szCs ns0:val="22"/>
        </ns0:rPr>
        <ns0:t>3.2.4 Независимый джиттер-буфер должен компенсировать PDV без выпадения кадров. Проверка: подача вариаций задержки и контроль кадров.</ns0:t>
      </ns0:r>
    </ns0:p>
    <ns0:p>
      <ns0:pPr/>
      <ns0:r>
        <ns0:rPr>
          <ns0:sz ns0:val="22"/>
          <ns0:szCs ns0:val="22"/>
        </ns0:rPr>
        <ns0:t>3.2.5 Ретрансляция потерянных пакетов запрещена. Единичный пропуск фиксировать как ошибку и обозначать Yellow Alarm / LOF. Превышение настраиваемого порога последовательных потерь должно вызывать Laser Off. Число потерь и абсолютная задержка — [уточнить]. Проверка: подача единичной и последовательной потери и наблюдение реакции.</ns0:t>
      </ns0:r>
    </ns0:p>
    <ns0:p>
      <ns0:pPr/>
      <ns0:r>
        <ns0:rPr>
          <ns0:sz ns0:val="22"/>
          <ns0:szCs ns0:val="22"/>
        </ns0:rPr>
        <ns0:t>3.2.6 P2 (Hitless 1+1) должен передавать две идентичные копии по независимым трактам, выполнять поштучную дедупликацию и не допускать потери битов при отказе одного пути. Проверка: исключение одного тракта и побитное сравнение.</ns0:t>
      </ns0:r>
    </ns0:p>
    <ns0:p>
      <ns0:pPr/>
      <ns0:r>
        <ns0:rPr>
          <ns0:sz ns0:val="22"/>
          <ns0:szCs ns0:val="22"/>
        </ns0:rPr>
        <ns0:t>3.2.7 При LOS/LOF либо потере сетевого тракта формировать Yellow Alarm или немедленно выполнять Laser Off. Недостоверные, случайные и повторно воспроизведённые устаревшие данные РЗА запрещены. Проверка: имитация отказов и контроль сигнализации, лазера и данных.</ns0:t>
      </ns0:r>
    </ns0:p>
    <ns0:p>
      <ns0:pPr/>
      <ns0:r>
        <ns0:rPr>
          <ns0:sz ns0:val="22"/>
          <ns0:szCs ns0:val="22"/>
        </ns0:rPr>
        <ns0:t>3.2.8 Условия выбора безопасного состояния при сохранении второго пути — [уточнить]. Проверка: проверка после утверждения правил выбора.</ns0:t>
      </ns0:r>
    </ns0:p>
    <ns0:p>
      <ns0:pPr>
        <ns0:pStyle ns0:val="Heading3"/>
      </ns0:pPr>
      <ns0:r>
        <ns0:rPr>
          <ns0:sz ns0:val="22"/>
          <ns0:szCs ns0:val="22"/>
        </ns0:rPr>
        <ns0:t>3.3 Тактирование, диагностика и конструкция</ns0:t>
      </ns0:r>
    </ns0:p>
    <ns0:p>
      <ns0:pPr/>
      <ns0:r>
        <ns0:rPr>
          <ns0:sz ns0:val="22"/>
          <ns0:szCs ns0:val="22"/>
        </ns0:rPr>
        <ns0:t>3.3.1 Для каждого порта предусмотреть режимы Loop timing от входного сигнала, TCLK 19,44 МГц, PTPv2 и локальный Holdover. Проверка: включение режимов и проверка синхронизации.</ns0:t>
      </ns0:r>
    </ns0:p>
    <ns0:p>
      <ns0:pPr/>
      <ns0:r>
        <ns0:rPr>
          <ns0:sz ns0:val="22"/>
          <ns0:szCs ns0:val="22"/>
        </ns0:rPr>
        <ns0:t>3.3.2 Восстановленные 2048 кГц выбранного порта выдавать в RX_CLK. Джиттер и вандер должны соответствовать ITU-T G.823. Проверка: измерение RX_CLK, джиттера и вандера по методике [уточнить].</ns0:t>
      </ns0:r>
    </ns0:p>
    <ns0:p>
      <ns0:pPr/>
      <ns0:r>
        <ns0:rPr>
          <ns0:sz ns0:val="22"/>
          <ns0:szCs ns0:val="22"/>
        </ns0:rPr>
        <ns0:t>3.3.3 Контролировать LOS, LOF, Yellow Alarm, битовые ошибки и DDM. Проверка: имитация состояний и проверка регистрации/индикации.</ns0:t>
      </ns0:r>
    </ns0:p>
    <ns0:p>
      <ns0:pPr/>
      <ns0:r>
        <ns0:rPr>
          <ns0:sz ns0:val="22"/>
          <ns0:szCs ns0:val="22"/>
        </ns0:rPr>
        <ns0:t>3.3.4 На каждом порту предусмотреть Optical Loopback, Payload Loopback и Ethernet Packet Loopback; генератор/анализатор PRBS 2^15−1 и 2^23−1. Проверка: включение петель и режимов PRBS.</ns0:t>
      </ns0:r>
    </ns0:p>
    <ns0:p>
      <ns0:pPr/>
      <ns0:r>
        <ns0:rPr>
          <ns0:sz ns0:val="22"/>
          <ns0:szCs ns0:val="22"/>
        </ns0:rPr>
        <ns0:t>3.3.5 Мощность субплаты — не более 12 Вт; мощность сборки с базовой платой — не более 35 Вт. Проверка: измерение потребляемой мощности; режимы измерения [уточнить].</ns0:t>
      </ns0:r>
    </ns0:p>
    <ns0:p>
      <ns0:pPr/>
      <ns0:r>
        <ns0:rPr>
          <ns0:sz ns0:val="22"/>
          <ns0:szCs ns0:val="22"/>
        </ns0:rPr>
        <ns0:t>3.3.6 Конструкция — Single Full-size AMC.0, габариты 73,5 × 180,6 × 28,95 мм; межплатное крепление — на 4–6 металлических стойках М2,5. Проверка: контроль габаритов, исполнения и крепления.</ns0:t>
      </ns0:r>
    </ns0:p>
    <ns0:p>
      <ns0:pPr/>
      <ns0:r>
        <ns0:rPr>
          <ns0:sz ns0:val="22"/>
          <ns0:szCs ns0:val="22"/>
        </ns0:rPr>
        <ns0:t>3.3.7 Стойкость установить по ГОСТ РВ 20.39.304-98 для групп 1.1, 1.3, 1.4.1, исполнение «О». Рабочая температура — −10…+50 °C, предельная — −40…+65 °C, синусоидальная вибрация — 5g, удары — 15g. Проверка: испытания по ПМИ; методы и длительности [уточнить].</ns0:t>
      </ns0:r>
    </ns0:p>
    <ns0:p>
      <ns0:pPr/>
      <ns0:r>
        <ns0:rPr>
          <ns0:sz ns0:val="22"/>
          <ns0:szCs ns0:val="22"/>
        </ns0:rPr>
        <ns0:t>3.3.8 Радиопомехи — группа 1.1.1 ГОСТ В 25803-91. Проверка: испытания по ПМИ.</ns0:t>
      </ns0:r>
    </ns0:p>
    <ns0:p>
      <ns0:pPr/>
      <ns0:r>
        <ns0:rPr>
          <ns0:sz ns0:val="22"/>
          <ns0:szCs ns0:val="22"/>
        </ns0:rPr>
        <ns0:t>3.3.9 Средняя наработка на отказ (MTBF) — не менее 15 000 ч; назначенный срок службы — не менее 20 лет. Проверка: расчётная и/или экспериментальная оценка по методике [уточнить].</ns0:t>
      </ns0:r>
    </ns0:p>
    <ns0:p>
      <ns0:pPr>
        <ns0:pStyle ns0:val="Heading2"/>
      </ns0:pPr>
      <ns0:r>
        <ns0:rPr>
          <ns0:sz ns0:val="26"/>
          <ns0:szCs ns0:val="26"/>
        </ns0:rPr>
        <ns0:t>4 Технико-экономические требования</ns0:t>
      </ns0:r>
    </ns0:p>
    <ns0:p>
      <ns0:pPr/>
      <ns0:r>
        <ns0:rPr>
          <ns0:sz ns0:val="22"/>
          <ns0:szCs ns0:val="22"/>
        </ns0:rPr>
        <ns0:t>4.1 Требования не предъявляются. Проверка: проверка отсутствия дополнительных требований в исходных данных.</ns0:t>
      </ns0:r>
    </ns0:p>
    <ns0:p>
      <ns0:pPr>
        <ns0:pStyle ns0:val="Heading2"/>
      </ns0:pPr>
      <ns0:r>
        <ns0:rPr>
          <ns0:sz ns0:val="26"/>
          <ns0:szCs ns0:val="26"/>
        </ns0:rPr>
        <ns0:t>5 Требования к видам обеспечения</ns0:t>
      </ns0:r>
    </ns0:p>
    <ns0:p>
      <ns0:pPr>
        <ns0:pStyle ns0:val="Heading3"/>
      </ns0:pPr>
      <ns0:r>
        <ns0:rPr>
          <ns0:sz ns0:val="22"/>
          <ns0:szCs ns0:val="22"/>
        </ns0:rPr>
        <ns0:t>5.1 Требования к нормативно-техническому обеспечению</ns0:t>
      </ns0:r>
    </ns0:p>
    <ns0:p>
      <ns0:pPr/>
      <ns0:r>
        <ns0:rPr>
          <ns0:sz ns0:val="22"/>
          <ns0:szCs ns0:val="22"/>
        </ns0:rPr>
        <ns0:t>5.1.1 Разработку, оформление и комплектность РКД, программной документации и иной документации выполнять с учётом документов, перечисленных в настоящем ТЗ, и ГОСТ 15.016-2016, разделы 6.1, 6.2 и 7.1. Проверка: анализ комплекта документации и ссылок на НД.</ns0:t>
      </ns0:r>
    </ns0:p>
    <ns0:p>
      <ns0:pPr>
        <ns0:pStyle ns0:val="Heading3"/>
      </ns0:pPr>
      <ns0:r>
        <ns0:rPr>
          <ns0:sz ns0:val="22"/>
          <ns0:szCs ns0:val="22"/>
        </ns0:rPr>
        <ns0:t>5.2 Требования к метрологическому обеспечению</ns0:t>
      </ns0:r>
    </ns0:p>
    <ns0:p>
      <ns0:pPr/>
      <ns0:r>
        <ns0:rPr>
          <ns0:sz ns0:val="22"/>
          <ns0:szCs ns0:val="22"/>
        </ns0:rPr>
        <ns0:t>5.2.1 Предусмотреть средства и методики измерения оптической мощности, джиттера по ITU-T G.823, сквозной задержки и асимметрии. Проверка: проверка наличия средств и методик.</ns0:t>
      </ns0:r>
    </ns0:p>
    <ns0:p>
      <ns0:pPr/>
      <ns0:r>
        <ns0:rPr>
          <ns0:sz ns0:val="22"/>
          <ns0:szCs ns0:val="22"/>
        </ns0:rPr>
        <ns0:t>5.2.2 Допуски, не заданные настоящим ТЗ, не устанавливать; недостающие параметры методик — [уточнить]. Проверка: анализ методик без добавления незаданных норм.</ns0:t>
      </ns0:r>
    </ns0:p>
    <ns0:p>
      <ns0:pPr>
        <ns0:pStyle ns0:val="Heading3"/>
      </ns0:pPr>
      <ns0:r>
        <ns0:rPr>
          <ns0:sz ns0:val="22"/>
          <ns0:szCs ns0:val="22"/>
        </ns0:rPr>
        <ns0:t>5.3 Требования к диагностическому обеспечению</ns0:t>
      </ns0:r>
    </ns0:p>
    <ns0:p>
      <ns0:pPr/>
      <ns0:r>
        <ns0:rPr>
          <ns0:sz ns0:val="22"/>
          <ns0:szCs ns0:val="22"/>
        </ns0:rPr>
        <ns0:t>5.3.1 Обеспечить регистрацию DDM, LOS/LOF/Yellow Alarm и статистик задержки, а также формирование сообщений и отчётов для РМО. Проверка: создание событий и контроль журнала, сообщений и отчётов.</ns0:t>
      </ns0:r>
    </ns0:p>
    <ns0:p>
      <ns0:pPr>
        <ns0:pStyle ns0:val="Heading3"/>
      </ns0:pPr>
      <ns0:r>
        <ns0:rPr>
          <ns0:sz ns0:val="22"/>
          <ns0:szCs ns0:val="22"/>
        </ns0:rPr>
        <ns0:t>5.4 Требования к математическому, программному и информационно-лингвистическому обеспечению</ns0:t>
      </ns0:r>
    </ns0:p>
    <ns0:p>
      <ns0:pPr/>
      <ns0:r>
        <ns0:rPr>
          <ns0:sz ns0:val="22"/>
          <ns0:szCs ns0:val="22"/>
        </ns0:rPr>
        <ns0:t>5.4.1 Разработать bitstream функционального модуля для Flash базовой платы, драйверы Linux и MIB для РМО. Проверка: проверка поставки, загрузки bitstream, драйверов и MIB.</ns0:t>
      </ns0:r>
    </ns0:p>
    <ns0:p>
      <ns0:pPr/>
      <ns0:r>
        <ns0:rPr>
          <ns0:sz ns0:val="22"/>
          <ns0:szCs ns0:val="22"/>
        </ns0:rPr>
        <ns0:t>5.4.2 Программная и логическая часть не должна изменять или инвертировать пользовательские биты C37.94 и должна поддерживать заданные режимы синхронизации, резервирования, диагностики и безопасного поведения. Проверка: функциональные испытания по 3.1–3.3.</ns0:t>
      </ns0:r>
    </ns0:p>
    <ns0:p>
      <ns0:pPr>
        <ns0:pStyle ns0:val="Heading2"/>
      </ns0:pPr>
      <ns0:r>
        <ns0:rPr>
          <ns0:sz ns0:val="26"/>
          <ns0:szCs ns0:val="26"/>
        </ns0:rPr>
        <ns0:t>6 Требования к сырью, материалам и комплектующим изделиям</ns0:t>
      </ns0:r>
    </ns0:p>
    <ns0:p>
      <ns0:pPr/>
      <ns0:r>
        <ns0:rPr>
          <ns0:sz ns0:val="22"/>
          <ns0:szCs ns0:val="22"/>
        </ns0:rPr>
        <ns0:t>6.1 Предусмотреть приоритет отечественных материалов и комплектующих с приёмкой ОТК. Проверка: анализ ведомостей и документов ОТК.</ns0:t>
      </ns0:r>
    </ns0:p>
    <ns0:p>
      <ns0:pPr/>
      <ns0:r>
        <ns0:rPr>
          <ns0:sz ns0:val="22"/>
          <ns0:szCs ns0:val="22"/>
        </ns0:rPr>
        <ns0:t>6.2 При отсутствии отечественных аналогов разрешить применение импортной ЭКБ промышленного температурного диапазона. Проверка: проверка обоснования отсутствия аналогов и диапазона.</ns0:t>
      </ns0:r>
    </ns0:p>
    <ns0:p>
      <ns0:pPr>
        <ns0:pStyle ns0:val="Heading2"/>
      </ns0:pPr>
      <ns0:r>
        <ns0:rPr>
          <ns0:sz ns0:val="26"/>
          <ns0:szCs ns0:val="26"/>
        </ns0:rPr>
        <ns0:t>7 Требования к консервации, упаковке и маркировке</ns0:t>
      </ns0:r>
    </ns0:p>
    <ns0:p>
      <ns0:pPr/>
      <ns0:r>
        <ns0:rPr>
          <ns0:sz ns0:val="22"/>
          <ns0:szCs ns0:val="22"/>
        </ns0:rPr>
        <ns0:t>7.1 На изделии предусмотреть децимальный и серийный номера, ревизию и маркировку C37-1…C37-4. Проверка: осмотр маркировки.</ns0:t>
      </ns0:r>
    </ns0:p>
    <ns0:p>
      <ns0:pPr/>
      <ns0:r>
        <ns0:rPr>
          <ns0:sz ns0:val="22"/>
          <ns0:szCs ns0:val="22"/>
        </ns0:rPr>
        <ns0:t>7.2 Оптические разъёмы защитить колпачками. Проверка: осмотр комплектности и защиты.</ns0:t>
      </ns0:r>
    </ns0:p>
    <ns0:p>
      <ns0:pPr/>
      <ns0:r>
        <ns0:rPr>
          <ns0:sz ns0:val="22"/>
          <ns0:szCs ns0:val="22"/>
        </ns0:rPr>
        <ns0:t>7.3 Хранение в заводской таре обеспечить не менее 1 года по ГОСТ 15150. Проверка: проверка упаковки и документов на хранение.</ns0:t>
      </ns0:r>
    </ns0:p>
    <ns0:p>
      <ns0:pPr/>
      <ns0:r>
        <ns0:rPr>
          <ns0:sz ns0:val="22"/>
          <ns0:szCs ns0:val="22"/>
        </ns0:rPr>
        <ns0:t>7.4 Условия и средства консервации, не заданные настоящим ТЗ, не дополнять; [уточнить] при выпуске РКД и ПМИ. Проверка: анализ РКД и ПМИ.</ns0:t>
      </ns0:r>
    </ns0:p>
    <ns0:p>
      <ns0:pPr>
        <ns0:pStyle ns0:val="Heading2"/>
      </ns0:pPr>
      <ns0:r>
        <ns0:rPr>
          <ns0:sz ns0:val="26"/>
          <ns0:szCs ns0:val="26"/>
        </ns0:rPr>
        <ns0:t>8 Специальные требования</ns0:t>
      </ns0:r>
    </ns0:p>
    <ns0:p>
      <ns0:pPr/>
      <ns0:r>
        <ns0:rPr>
          <ns0:sz ns0:val="22"/>
          <ns0:szCs ns0:val="22"/>
        </ns0:rPr>
        <ns0:t>8.1 Телеметрия РМО (C++/Qt) должна включать мнемосхему четырёх портов, N, DDM в дБм, LOS/LOF/Yellow Alarm, задержку, асимметрию и статус P2. Проверка: проверка отображения каждого поля.</ns0:t>
      </ns0:r>
    </ns0:p>
    <ns0:p>
      <ns0:pPr/>
      <ns0:r>
        <ns0:rPr>
          <ns0:sz ns0:val="22"/>
          <ns0:szCs ns0:val="22"/>
        </ns0:rPr>
        <ns0:t>8.2 РМО должно поддерживать команды настройки N, режима тактирования и P2, управления петлями и запуска PRBS. Проверка: подача каждой команды и контроль результата.</ns0:t>
      </ns0:r>
    </ns0:p>
    <ns0:p>
      <ns0:pPr/>
      <ns0:r>
        <ns0:rPr>
          <ns0:sz ns0:val="22"/>
          <ns0:szCs ns0:val="22"/>
        </ns0:rPr>
        <ns0:t>8.3 Реакции на LOS/LOF, потерю сетевого тракта, потери пакетов и отказ одного P2-тракта должны соответствовать 3.2.5–3.2.8; правила выбора безопасного состояния при сохранении второго пути — [уточнить]. Проверка: испытание аварийных сценариев после уточнения правил.</ns0:t>
      </ns0:r>
    </ns0:p>
    <ns0:p>
      <ns0:r>
        <ns0:br ns0:type="page"/>
      </ns0:r>
    </ns0:p>
    <ns0:p>
      <ns0:pPr>
        <ns0:pStyle ns0:val="Heading1"/>
      </ns0:pPr>
      <ns0:r>
        <ns0:rPr>
          <ns0:sz ns0:val="32"/>
          <ns0:szCs ns0:val="32"/>
        </ns0:rPr>
        <ns0:t>ПОДПИСИ РАЗРАБОТЧИКОВ И СОГЛАСУЮЩИХ ЛИЦ</ns0:t>
      </ns0:r>
    </ns0:p>
    <ns0:tbl>
      <ns0:tblPr>
        <ns0:tblW ns0:type="dxa" ns0:w="9000"/>
      </ns0:tblP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Роль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Должность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Подпись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ФИО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Дата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Разработал ТЗ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[уточнить]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[подпись]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[ФИО]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[уточнить]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Проверил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[уточнить]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[подпись]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[ФИО]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[уточнить]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Согласовано с заказчиком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[уточнить]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[подпись]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[ФИО]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[уточнить]</ns0:t>
            </ns0:r>
          </ns0:p>
        </ns0:tc>
      </ns0:tr>
      <ns0:tr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Утверждено головным исполнителем ОКР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[уточнить]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[подпись]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[ФИО]</ns0:t>
            </ns0:r>
          </ns0:p>
        </ns0:tc>
        <ns0:tc>
          <ns0:tcPr>
            <ns0:tcW ns0:type="dxa" ns0:w="3000"/>
          </ns0:tcPr>
          <ns0:p>
            <ns0:r>
              <ns0:rPr>
                <ns0:sz ns0:val="20"/>
                <ns0:szCs ns0:val="20"/>
              </ns0:rPr>
              <ns0:t>[уточнить]</ns0:t>
            </ns0:r>
          </ns0:p>
        </ns0:tc>
      </ns0:tr>
    </ns0:tbl>
    <ns0:p>
      <ns0:pPr/>
      <ns0:r>
        <ns0:rPr>
          <ns0:sz ns0:val="22"/>
          <ns0:szCs ns0:val="22"/>
          <ns0:i/>
        </ns0:rPr>
        <ns0:t>Примечание. Поля утверждения, согласования, подписей, ФИО, дат и незаданных реквизитов являются незаполненными и не подтверждают соответствующие сведения.</ns0:t>
      </ns0:r>
    </ns0:p>
    <ns0:sectPr>
      <ns0:pgSz ns0:w="11906" ns0:h="16838"/>
      <ns0:pgMar ns0:top="1134" ns0:right="567" ns0:bottom="1134" ns0:left="1417"/>
    </ns0:sectPr>
  </ns0:body>
</ns0:document>
</file>

<file path=word/numbering.xml><?xml version="1.0" encoding="utf-8"?>
<ns0:numbering xmlns:ns0="http://schemas.openxmlformats.org/wordprocessingml/2006/main">
  <ns0:abstractNum ns0:abstractNumId="0">
    <ns0:multiLevelType ns0:val="singleLevel"/>
    <ns0:lvl ns0:ilvl="0">
      <ns0:start ns0:val="1"/>
      <ns0:numFmt ns0:val="bullet"/>
      <ns0:lvlText ns0:val="•"/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/>
</file>

<file path=word/styles.xml><?xml version="1.0" encoding="utf-8"?>
<ns0:styles xmlns:ns0="http://schemas.openxmlformats.org/wordprocessingml/2006/main">
  <ns0:style ns0:type="paragraph" ns0:styleId="Normal">
    <ns0:name ns0:val="Normal"/>
    <ns0:rPr>
      <ns0:rFonts ns0:ascii="Times New Roman" ns0:hAnsi="Times New Roman" ns0:eastAsia="Times New Roman"/>
      <ns0:sz ns0:val="22"/>
      <ns0:szCs ns0:val="22"/>
    </ns0:rPr>
  </ns0:style>
  <ns0:style ns0:type="paragraph" ns0:styleId="Heading1">
    <ns0:name ns0:val="Heading1"/>
    <ns0:rPr>
      <ns0:rFonts ns0:ascii="Times New Roman" ns0:hAnsi="Times New Roman" ns0:eastAsia="Times New Roman"/>
      <ns0:sz ns0:val="32"/>
      <ns0:szCs ns0:val="32"/>
      <ns0:b/>
    </ns0:rPr>
  </ns0:style>
  <ns0:style ns0:type="paragraph" ns0:styleId="Heading2">
    <ns0:name ns0:val="Heading2"/>
    <ns0:rPr>
      <ns0:rFonts ns0:ascii="Times New Roman" ns0:hAnsi="Times New Roman" ns0:eastAsia="Times New Roman"/>
      <ns0:sz ns0:val="26"/>
      <ns0:szCs ns0:val="26"/>
      <ns0:b/>
    </ns0:rPr>
  </ns0:style>
  <ns0:style ns0:type="paragraph" ns0:styleId="Heading3">
    <ns0:name ns0:val="Heading3"/>
    <ns0:rPr>
      <ns0:rFonts ns0:ascii="Times New Roman" ns0:hAnsi="Times New Roman" ns0:eastAsia="Times New Roman"/>
      <ns0:sz ns0:val="24"/>
      <ns0:szCs ns0:val="24"/>
      <ns0:b/>
    </ns0:rPr>
  </ns0:style>
</ns0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