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ns0:document xmlns:ns0="http://schemas.openxmlformats.org/wordprocessingml/2006/main" xmlns:ns1="http://schemas.openxmlformats.org/officeDocument/2006/relationships" xmlns:r="http://schemas.openxmlformats.org/officeDocument/2006/relationships">
  <ns0:body>
    <ns0:tbl>
      <ns0:tblPr>
        <ns0:tblW ns0:w="0" ns0:type="auto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СОГЛАСОВАНО[должность, организация — уточнить]____________ [ФИО — уточнить]«___» __________ 20__ г.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УТВЕРЖДАЮ[должность головного исполнителя ОКР — уточнить]____________ [ФИО — уточнить]«___» __________ 20__ г.</ns0:t>
            </ns0:r>
          </ns0:p>
        </ns0:tc>
      </ns0:tr>
    </ns0:tbl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ТЕХНИЧЕСКОЕ ЗАДАНИЕ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на составную часть опытно-конструкторской работы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«Разработка сменной интерфейсной субплаты 4×IEEE C37.94 и функционального модуля релейной защиты для универсального базового модуля AMC семейства ДММП»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Шифр ОКР «Развитие-ТСА»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Обозначение документа: [уточнить]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Регистрационный номер: [уточнить]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[место составления — уточнить]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[год — уточнить]</ns0:t>
      </ns0:r>
    </ns0:p>
    <ns0:p>
      <ns0:pPr>
        <ns0:pageBreakBefore ns0:val="1"/>
        <ns0:pStyle ns0:val="Heading1"/>
        <ns0:keepNext/>
      </ns0:pPr>
      <ns0:r>
        <ns0:rPr>
          <ns0:rFonts ns0:ascii="Times New Roman" ns0:hAnsi="Times New Roman" ns0:cs="Times New Roman"/>
          <ns0:b/>
          <ns0:sz ns0:val="28"/>
          <ns0:szCs ns0:val="28"/>
        </ns0:rPr>
        <ns0:t xml:space="preserve">ЛИСТ СОГЛАСОВАНИЯ</ns0:t>
      </ns0:r>
    </ns0:p>
    <ns0:tbl>
      <ns0:tblPr>
        <ns0:tblW ns0:w="0" ns0:type="auto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Организация, должность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ФИО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Подпись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Дата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____________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____________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____________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____________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____________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</ns0:tr>
    </ns0:tbl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Примечание — Фактический состав согласующих организаций и должностных лиц подлежит уточнению.</ns0:t>
      </ns0:r>
    </ns0:p>
    <ns0:p>
      <ns0:pPr>
        <ns0:pageBreakBefore ns0:val="1"/>
        <ns0:pStyle ns0:val="Heading1"/>
        <ns0:keepNext/>
      </ns0:pPr>
      <ns0:r>
        <ns0:rPr>
          <ns0:rFonts ns0:ascii="Times New Roman" ns0:hAnsi="Times New Roman" ns0:cs="Times New Roman"/>
          <ns0:b/>
          <ns0:sz ns0:val="28"/>
          <ns0:szCs ns0:val="28"/>
        </ns0:rPr>
        <ns0:t xml:space="preserve">ПЕРЕЧЕНЬ ОБОЗНАЧЕНИЙ И СОКРАЩЕНИЙ</ns0:t>
      </ns0:r>
    </ns0:p>
    <ns0:tbl>
      <ns0:tblPr>
        <ns0:tblW ns0:w="0" ns0:type="auto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Обозначение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Расшифровка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AMC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Advanced Mezzanine Card — мезонинная плата по PICMG AMC.0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B2B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Board-to-Board — межплатный интерфейс/соединение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Board ID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идентификатор типа сменной субплаты, хранящийся в EEPROM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CDR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Clock and Data Recovery — восстановление тактового сигнала и данных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DDM/DOM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Digital Diagnostic Monitoring / Digital Optical Monitoring — цифровой диагностический мониторинг параметров оптического трансивера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ДЗЛ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дифференциальная защита линии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ДММП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семейство универсальных модулей и плат целевой платформы; полное раскрытие наименования — [уточнить]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ДФЗ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дифференциально-фазная защита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КД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конструкторская документация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LC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тип малогабаритного оптического соединителя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LOF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Loss of Frame — потеря кадровой синхронизации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LOS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Loss of Signal — потеря оптического сигнала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MIB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Management Information Base — база управляющей информации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MMC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Module Management Controller — контроллер управления модулем AMC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MTBF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Mean Time Between Failures — средняя наработка между отказами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ОКР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опытно-конструкторская работа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ОТК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отдел технического контроля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ПЛИС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программируемая логическая интегральная схема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ПМИ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программа и методика испытаний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РЗА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релейная защита и автоматика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РКД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рабочая конструкторская документация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РМО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рабочее место оператора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СЧ ОКР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составная часть опытно-конструкторской работы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SFP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Small Form-factor Pluggable — малогабаритный сменный трансивер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SoC FPGA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система на кристалле, содержащая процессорное ядро и ПЛИС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TCLK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опорный тактовый сигнал 19,44 МГц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Yellow Alarm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аварийный сигнал удалённой стороны по интерфейсу IEEE C37.94</ns0:t>
            </ns0:r>
          </ns0:p>
        </ns0:tc>
      </ns0:tr>
    </ns0:tbl>
    <ns0:p>
      <ns0:pPr>
        <ns0:pStyle ns0:val="Heading1"/>
        <ns0:keepNext/>
      </ns0:pPr>
      <ns0:r>
        <ns0:rPr>
          <ns0:rFonts ns0:ascii="Times New Roman" ns0:hAnsi="Times New Roman" ns0:cs="Times New Roman"/>
          <ns0:b/>
          <ns0:sz ns0:val="28"/>
          <ns0:szCs ns0:val="28"/>
        </ns0:rPr>
        <ns0:t xml:space="preserve">ПЕРЕЧЕНЬ ПРИМЕНИМЫХ НОРМАТИВНЫХ И СПРАВОЧНЫХ ДОКУМЕНТОВ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НД-01 ГОСТ 15.016—2016 «Система разработки и постановки продукции на производство. Техническое задание. Требования к содержанию и оформлению»;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НД-02 ГОСТ 2.114—2016 «Единая система конструкторской документации. Технические условия»;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НД-03 ГОСТ РВ 15.201—2003;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НД-04 ГОСТ РВ 20.39.304—98;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НД-05 ГОСТ В 25803—91;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НД-06 ГОСТ 15150;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НД-07 IEEE C37.94-2017;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НД-08 IEEE C37.94-2002 — в части обеспечения совместимости;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НД-09 ITU-T G.823;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НД-10 SFF-8472;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НД-11 IEEE 802.1p/Q;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НД-12 PICMG AMC.0 R2.0.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Примечание — Полные наименования и актуальный статус документов, для которых они не приведены в исходных данных, подлежат уточнению. Настоящий перечень не подтверждает наличие текстов перечисленных документов в составе исходных материалов.</ns0:t>
      </ns0:r>
    </ns0:p>
    <ns0:p>
      <ns0:pPr>
        <ns0:pageBreakBefore ns0:val="1"/>
        <ns0:pStyle ns0:val="Heading1"/>
        <ns0:keepNext/>
      </ns0:pPr>
      <ns0:r>
        <ns0:rPr>
          <ns0:rFonts ns0:ascii="Times New Roman" ns0:hAnsi="Times New Roman" ns0:cs="Times New Roman"/>
          <ns0:b/>
          <ns0:sz ns0:val="28"/>
          <ns0:szCs ns0:val="28"/>
        </ns0:rPr>
        <ns0:t xml:space="preserve">1 Наименование, шифр ОКР, основание, исполнитель и сроки выполнения ОКР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1.1 Наименование СЧ ОКР: разработка сменной интерфейсной субплаты 4×IEEE C37.94 и функционального модуля релейной защиты для универсального базового модуля AMC семейства ДММП.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1.2 Шифр ОКР — «Развитие-ТСА». Для СЧ ОКР дополнительный шифр не установлен.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1.3 Основание для выполнения работы — приказ об открытии инициативной ОКР № [уточнить] от [уточнить].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1.4 Исполнитель — [организация-исполнитель]. Головной исполнитель ОКР — [уточнить].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1.5 Сроки выполнения СЧ ОКР должны быть связаны с утверждённым планом-графиком разработки РКД и программной документации, изготовления образцов и проведения испытаний. Даты начала, окончания и контрольных событий — [уточнить].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1.6 Сроки СЧ ОКР должны быть установлены применительно к срокам ОКР «Развитие-ТСА».</ns0:t>
      </ns0:r>
    </ns0:p>
    <ns0:p>
      <ns0:pPr>
        <ns0:pStyle ns0:val="Heading1"/>
        <ns0:keepNext/>
      </ns0:pPr>
      <ns0:r>
        <ns0:rPr>
          <ns0:rFonts ns0:ascii="Times New Roman" ns0:hAnsi="Times New Roman" ns0:cs="Times New Roman"/>
          <ns0:b/>
          <ns0:sz ns0:val="28"/>
          <ns0:szCs ns0:val="28"/>
        </ns0:rPr>
        <ns0:t xml:space="preserve">2 Цель выполнения ОКР, наименование, назначение и область применения изделия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2.1 Цель СЧ ОКР — создание сменной интерфейсной субплаты 4×IEEE C37.94 и автоматически активируемого функционального модуля ПЛИС, обеспечивающих оптические каналы терминалов РЗА, ДЗЛ и ДФЗ, противоаварийной автоматики и регистраторов аварийных событий подстанций ДММП.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2.2 Изделие должно обеспечивать прозрачную передачу N×64 кбит/с с фиксированной низкой задержкой, симметрией направлений, резервированием P2 и безопасным аварийным поведением.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2.3 Аппаратная часть изделия должна включать сменную субплату, оптические интерфейсы, защитные цепи, трансиверы, EEPROM Board ID и средства индикации.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2.4 Логическая часть изделия должна представлять собой функциональный модуль ПЛИС базовой платы и автоматически активироваться по Board ID сменной субплаты.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2.5 AMC с установленной субплатой предназначен для установки на Carrier платформы ДММП.</ns0:t>
      </ns0:r>
    </ns0:p>
    <ns0:p>
      <ns0:pPr>
        <ns0:pStyle ns0:val="Heading1"/>
        <ns0:keepNext/>
      </ns0:pPr>
      <ns0:r>
        <ns0:rPr>
          <ns0:rFonts ns0:ascii="Times New Roman" ns0:hAnsi="Times New Roman" ns0:cs="Times New Roman"/>
          <ns0:b/>
          <ns0:sz ns0:val="28"/>
          <ns0:szCs ns0:val="28"/>
        </ns0:rPr>
        <ns0:t xml:space="preserve">3 Технические требования к изделию</ns0:t>
      </ns0:r>
    </ns0:p>
    <ns0:p>
      <ns0:pPr>
        <ns0:pStyle ns0:val="Heading2"/>
        <ns0:keepNext/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3.1 Архитектура и оптические интерфейсы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3.1.1 Субплата должна иметь четыре независимых оптических порта с интерфейсами LC/SFP, трансиверами на длину волны 850 нм или 1310 нм с CDR, защитными цепями, DDM/DOM, EEPROM Board ID со значением 0x05 и индикацией состояния.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3.1.2 Связь субплаты с базовой платой должна осуществляться через B2B. Базовая плата должна предоставлять напряжения питания +12 В и +3,3 В, MMC, тактирование и автоматическую загрузку bitstream из Flash в зависимости от Board ID.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3.1.3 Субплата должна иметь четыре экранированные корзины SFP или четыре дуплексных соединителя LC с отдельными волокнами TX и RX. Исполнение LC либо SFP является альтернативным; окончательное исполнение — [уточнить].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3.1.4 Для исполнения 850 нм должны поддерживаться многомодовые волокна 50/125 мкм или 62,5/125 мкм и дальность до 2 км. Для исполнения 1310 нм должны поддерживаться одномодовые волокна 9/125 мкм и дальность от 20 до 40 км.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3.1.5 Для каждого порта должны быть реализованы линии TX_DISABLE, TX_FAULT и RX_LOS.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3.1.6 DDM/DOM должен опрашиваться по I2C согласно SFF-8472. Должны контролироваться оптическая мощность TX и RX, температура и ток лазера; телеметрия должна передаваться в РМО.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3.1.7 Каждый порт независимо должен поддерживать N от 1 до 12 каналов по 64 кбит/с, полезную скорость от 64 до 768 кбит/с и кадровый поток 2048 кбит/с.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3.1.8 Интерфейс должен соответствовать IEEE C37.94-2017 и обеспечивать совместимость с IEEE C37.94-2002. Пользовательские биты должны передаваться без изменения и без инверсии.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3.1.9 Проверка Соответствие требованиям 3.1.1–3.1.8 должно подтверждаться осмотром исполнения и маркировки, анализом РКД и программной документации, измерением параметров оптических линий и испытанием каждого порта во всех значениях N. Наблюдаемые результаты: корректное обнаружение Board ID 0x05 и загрузка соответствующего bitstream, работа четырёх независимых портов, передача заданного числа каналов и неизменность пользовательских битов. Допуски средств измерений и детальная методика — [уточнить] в ПМИ.</ns0:t>
      </ns0:r>
    </ns0:p>
    <ns0:p>
      <ns0:pPr>
        <ns0:pStyle ns0:val="Heading2"/>
        <ns0:keepNext/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3.2 Пакетная передача, резервирование и безопасные состояния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3.2.1 Функция C37.94-over-Packet должна обеспечивать передачу по Ethernet L2 с фиксированным периодом пакетизации через Fabric 10GbE и с обслуживанием Strict Priority QoS по IEEE 802.1p/Q.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3.2.2 Передача L3/UDP/IP должна поддерживаться при необходимости. Реализация должна выполняться процессорным ядром SoC FPGA либо статической аппаратной подстановкой заголовка; выбор варианта — [уточнить].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3.2.3 Задержка должна быть фиксированной и детерминированной. Абсолютное значение задержки — [уточнить]. Асимметрия прямого и обратного направлений не должна превышать ±10 мкс во всём диапазоне рабочих температур и сетевой нагрузки.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3.2.4 Независимый джиттер-буфер каждого тракта должен компенсировать вариацию задержки пакетов (PDV) без выпадения кадров.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3.2.5 Ретрансляция потерянных пакетов запрещена. Единичный пропуск пакета должен фиксироваться как ошибка и обозначаться Yellow Alarm / LOF. Превышение настраиваемого порога последовательных потерь должно вызывать Laser Off. Значение порога — [уточнить].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3.2.6 В режиме P2 (Hitless 1+1) две идентичные копии данных должны передаваться по независимым трактам; должна выполняться поштучная дедупликация. При отказе одного пути не допускается потеря битов.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3.2.7 При LOS, LOF либо потере сетевого тракта должно формироваться безопасное состояние Yellow Alarm или немедленный Laser Off. Выбор безопасного состояния, включая условия при сохранении второго пути P2, — [уточнить].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3.2.8 Не допускается выдача терминалам РЗА недостоверных, случайных и повторно воспроизведённых устаревших данных.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3.2.9 Проверка Испытанием при заданной сетевой нагрузке и во всём рабочем диапазоне температур должны быть подтверждены фиксированность задержки, асимметрия не более ±10 мкс, компенсация PDV без выпадения кадров и работа Strict Priority. Вводом единичной и последовательной потери пакетов, LOS/LOF и отказа одного из двух независимых путей должны быть подтверждены отсутствие ретрансляции, требуемая сигнализация, дедупликация и отсутствие потери битов при отказе одного пути. Проверка запрета недостоверных, случайных и устаревших данных должна выполняться анализом выходного потока. Абсолютная задержка, диапазон сетевой нагрузки, профиль PDV, порог потерь, безопасное состояние и погрешности измерений — [уточнить] в ПМИ.</ns0:t>
      </ns0:r>
    </ns0:p>
    <ns0:p>
      <ns0:pPr>
        <ns0:pStyle ns0:val="Heading2"/>
        <ns0:keepNext/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3.3 Тактирование, диагностика, конструкция, стойкость и надёжность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3.3.1 Для каждого порта должны поддерживаться режимы синхронизации Loop timing от входного сигнала, TCLK 19,44 МГц, PTPv2 и локальный Holdover.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3.3.2 Восстановленный сигнал 2048 кГц выбранного порта должен выдаваться в RX_CLK. Джиттер и вандер должны соответствовать ITU-T G.823.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3.3.3 Должны контролироваться LOS, LOF, Yellow Alarm, битовые ошибки и параметры DDM.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3.3.4 На каждом порту должны быть реализованы Optical Loopback, Payload Loopback и Ethernet Packet Loopback, а также генератор и анализатор PRBS 2^15−1 и 2^23−1.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3.3.5 Потребляемая мощность субплаты должна быть не более 12 Вт, а сборки субплаты с базовой платой — не более 35 Вт.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3.3.6 Конструкция сборки должна соответствовать форм-фактору Single Full-size AMC.0 и иметь габариты 73,5 × 180,6 × 28,95 мм.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3.3.7 Межплатное крепление должно выполняться на 4–6 металлических стойках М2,5.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3.3.8 Изделие должно соответствовать ГОСТ РВ 20.39.304—98 для групп 1.1, 1.3 и 1.4.1, исполнения «О», включая рабочую температуру от −10 до +50 °C, предельную температуру от −40 до +65 °C, синусоидальную вибрацию 5g и удары 15g.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3.3.9 Требования по радиопомехам должны соответствовать группе 1.1.1 ГОСТ В 25803—91.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3.3.10 MTBF должен быть не менее 15 000 ч. Назначенный срок службы должен быть не менее 20 лет.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3.3.11 Проверка Режимы тактирования, выдача 2048 кГц в RX_CLK, петли, PRBS и диагностические признаки должны проверяться испытанием каждого порта с наблюдением соответствующих выходных сигналов и сообщений. Мощность должна подтверждаться измерением при условиях [уточнить]. Форм-фактор, габариты, крепление и наличие экранирования должны подтверждаться осмотром и измерением. Стойкость, радиопомехи и показатели надёжности должны подтверждаться испытаниями и/или расчётом по указанным нормативным документам. Допуски измерений для числовых параметров, режим Holdover и критерии G.823 — [уточнить] в ПМИ; исходные требования не содержат этих данных, необходимых согласно 6.1.4 ГОСТ 15.016—2016.</ns0:t>
      </ns0:r>
    </ns0:p>
    <ns0:p>
      <ns0:pPr>
        <ns0:pStyle ns0:val="Heading1"/>
        <ns0:keepNext/>
      </ns0:pPr>
      <ns0:r>
        <ns0:rPr>
          <ns0:rFonts ns0:ascii="Times New Roman" ns0:hAnsi="Times New Roman" ns0:cs="Times New Roman"/>
          <ns0:b/>
          <ns0:sz ns0:val="28"/>
          <ns0:szCs ns0:val="28"/>
        </ns0:rPr>
        <ns0:t xml:space="preserve">4 Технико-экономические требования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4.1 Технико-экономические требования к изделию не предъявляются.</ns0:t>
      </ns0:r>
    </ns0:p>
    <ns0:p>
      <ns0:pPr>
        <ns0:pStyle ns0:val="Heading1"/>
        <ns0:keepNext/>
      </ns0:pPr>
      <ns0:r>
        <ns0:rPr>
          <ns0:rFonts ns0:ascii="Times New Roman" ns0:hAnsi="Times New Roman" ns0:cs="Times New Roman"/>
          <ns0:b/>
          <ns0:sz ns0:val="28"/>
          <ns0:szCs ns0:val="28"/>
        </ns0:rPr>
        <ns0:t xml:space="preserve">5 Требования к видам обеспечения</ns0:t>
      </ns0:r>
    </ns0:p>
    <ns0:p>
      <ns0:pPr>
        <ns0:pStyle ns0:val="Heading2"/>
        <ns0:keepNext/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5.1 Требования к нормативно-техническому обеспечению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5.1.1 При разработке изделия должны применяться документы, перечисленные в перечне применимых нормативных и справочных документов настоящего ТЗ, в относящейся к изделию части.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5.1.2 РКД и программная документация должны учитывать требования применимых документов в пределах заданных настоящим ТЗ характеристик и границ ответственности.</ns0:t>
      </ns0:r>
    </ns0:p>
    <ns0:p>
      <ns0:pPr>
        <ns0:pStyle ns0:val="Heading2"/>
        <ns0:keepNext/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5.2 Требования к метрологическому обеспечению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5.2.1 Должны быть предусмотрены средства и методики измерения оптической мощности, джиттера по ITU-T G.823, сквозной задержки и асимметрии прямого и обратного направлений.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5.2.2 Погрешности измерений, продолжительность, периодичность, условия измерений и состав средств измерений — [уточнить]. До их задания полнота метрологической части и выполнение требования 6.1.4 ГОСТ 15.016—2016 о пределах погрешностей для предельных значений не могут считаться подтверждёнными.</ns0:t>
      </ns0:r>
    </ns0:p>
    <ns0:p>
      <ns0:pPr>
        <ns0:pStyle ns0:val="Heading2"/>
        <ns0:keepNext/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5.3 Требования к диагностическому обеспечению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5.3.1 Должна обеспечиваться регистрация параметров DDM, событий LOS, LOF и Yellow Alarm, а также статистики задержки.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5.3.2 Диагностические данные должны использоваться для формирования сообщений и отчётов РМО.</ns0:t>
      </ns0:r>
    </ns0:p>
    <ns0:p>
      <ns0:pPr>
        <ns0:pStyle ns0:val="Heading2"/>
        <ns0:keepNext/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5.4 Требования к программному обеспечению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5.4.1 Должны быть разработаны bitstream функционального модуля для размещения во Flash базовой платы, драйверы Linux и MIB для РМО.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5.4.2 Проверка Состав обеспечения должен подтверждаться анализом комплектности и документации. Измерительные средства и методики должны обеспечивать наблюдение параметров 5.2.1; диагностика — регистрацию и формирование сообщений по 5.3; загрузка bitstream, драйверы Linux и MIB — выполнение предусмотренных функций на целевой базовой плате и в РМО. Детальные методики и незаданные метрологические характеристики — [уточнить] в ПМИ.</ns0:t>
      </ns0:r>
    </ns0:p>
    <ns0:p>
      <ns0:pPr>
        <ns0:pStyle ns0:val="Heading1"/>
        <ns0:keepNext/>
      </ns0:pPr>
      <ns0:r>
        <ns0:rPr>
          <ns0:rFonts ns0:ascii="Times New Roman" ns0:hAnsi="Times New Roman" ns0:cs="Times New Roman"/>
          <ns0:b/>
          <ns0:sz ns0:val="28"/>
          <ns0:szCs ns0:val="28"/>
        </ns0:rPr>
        <ns0:t xml:space="preserve">6 Требования к сырью, материалам и комплектующим изделиям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6.1 При выборе материалов и комплектующих изделий должен отдаваться приоритет материалам и комплектующим отечественного производства с приёмкой ОТК.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6.2 При отсутствии отечественных аналогов допускается применение импортной электронной компонентной базы промышленного температурного диапазона.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6.3 Проверка Выполнение требований раздела должно подтверждаться анализом спецификаций, документов о происхождении и приёмке ОТК. Применение импортной электронной компонентной базы должно сопровождаться подтверждением отсутствия отечественного аналога и промышленного температурного диапазона.</ns0:t>
      </ns0:r>
    </ns0:p>
    <ns0:p>
      <ns0:pPr>
        <ns0:pStyle ns0:val="Heading1"/>
        <ns0:keepNext/>
      </ns0:pPr>
      <ns0:r>
        <ns0:rPr>
          <ns0:rFonts ns0:ascii="Times New Roman" ns0:hAnsi="Times New Roman" ns0:cs="Times New Roman"/>
          <ns0:b/>
          <ns0:sz ns0:val="28"/>
          <ns0:szCs ns0:val="28"/>
        </ns0:rPr>
        <ns0:t xml:space="preserve">7 Требования к консервации, упаковке и маркировке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7.1 На изделие должны быть нанесены децимальный номер, серийный номер и обозначение ревизии.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7.2 Оптические порты должны иметь маркировку C37-1, C37-2, C37-3 и C37-4.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7.3 Оптические разъёмы должны быть защищены колпачками.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7.4 Срок хранения изделия в заводской таре должен быть не менее 1 года по ГОСТ 15150.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7.5 Условия и методы консервации, вид тары, категория условий хранения по ГОСТ 15150 и требования к маркировке тары — [уточнить]; незаданные условия не устанавливаются настоящим ТЗ.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7.6 Проверка Маркировка, защитные колпачки и заводская тара должны проверяться осмотром; срок хранения — анализом сопроводительной документации. Условия подтверждения хранения по ГОСТ 15150 зависят от уточнения по 7.5.</ns0:t>
      </ns0:r>
    </ns0:p>
    <ns0:p>
      <ns0:pPr>
        <ns0:pStyle ns0:val="Heading1"/>
        <ns0:keepNext/>
      </ns0:pPr>
      <ns0:r>
        <ns0:rPr>
          <ns0:rFonts ns0:ascii="Times New Roman" ns0:hAnsi="Times New Roman" ns0:cs="Times New Roman"/>
          <ns0:b/>
          <ns0:sz ns0:val="28"/>
          <ns0:szCs ns0:val="28"/>
        </ns0:rPr>
        <ns0:t xml:space="preserve">8 Специальные требования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8.1 Телеметрия РМО, реализованного на C++/Qt, должна содержать мнемосхему четырёх портов и отображать для соответствующих портов: N, DDM в дБм, LOS, LOF, Yellow Alarm, задержку, асимметрию и статус P2.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8.2 Через РМО должны поддерживаться команды настройки N, режима тактирования и P2, управления петлями и запуска PRBS.</ns0:t>
      </ns0:r>
    </ns0:p>
    <ns0:p>
      <ns0:pPr>
        <ns0:jc ns0:val="both"/>
        <ns0:ind ns0:firstLine="0"/>
        <ns0:spacing ns0:after="60" ns0:line="276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8.3 Проверка Испытанием РМО с подключённым изделием должны быть подтверждены наличие мнемосхемы четырёх портов, отображение всех параметров 8.1 и выполнение всех команд 8.2 с наблюдением изменения соответствующего режима или состояния изделия.</ns0:t>
      </ns0:r>
    </ns0:p>
    <ns0:p>
      <ns0:pPr>
        <ns0:pageBreakBefore ns0:val="1"/>
        <ns0:pStyle ns0:val="Heading1"/>
        <ns0:keepNext/>
      </ns0:pPr>
      <ns0:r>
        <ns0:rPr>
          <ns0:rFonts ns0:ascii="Times New Roman" ns0:hAnsi="Times New Roman" ns0:cs="Times New Roman"/>
          <ns0:b/>
          <ns0:sz ns0:val="28"/>
          <ns0:szCs ns0:val="28"/>
        </ns0:rPr>
        <ns0:t xml:space="preserve">РАЗРАБОТАНО</ns0:t>
      </ns0:r>
    </ns0:p>
    <ns0:tbl>
      <ns0:tblPr>
        <ns0:tblW ns0:w="0" ns0:type="auto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Должность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ФИО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Подпись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Дата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____________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____________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____________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</ns0:tr>
    </ns0:tbl>
    <ns0:p>
      <ns0:pPr>
        <ns0:pStyle ns0:val="Heading1"/>
        <ns0:keepNext/>
      </ns0:pPr>
      <ns0:r>
        <ns0:rPr>
          <ns0:rFonts ns0:ascii="Times New Roman" ns0:hAnsi="Times New Roman" ns0:cs="Times New Roman"/>
          <ns0:b/>
          <ns0:sz ns0:val="28"/>
          <ns0:szCs ns0:val="28"/>
        </ns0:rPr>
        <ns0:t xml:space="preserve">СОГЛАСОВАНО</ns0:t>
      </ns0:r>
    </ns0:p>
    <ns0:tbl>
      <ns0:tblPr>
        <ns0:tblW ns0:w="0" ns0:type="auto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Организация, должность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ФИО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Подпись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center"/>
            </ns0:pPr>
            <ns0:r>
              <ns0:rPr>
                <ns0:rFonts ns0:ascii="Times New Roman" ns0:hAnsi="Times New Roman" ns0:cs="Times New Roman"/>
                <ns0:b/>
                <ns0:sz ns0:val="22"/>
                <ns0:szCs ns0:val="22"/>
              </ns0:rPr>
              <ns0:t>Дата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____________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____________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</ns0:tr>
      <ns0:tr>
        <ns0:trPr>
          <ns0:cantSplit/>
        </ns0:trPr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____________</ns0:t>
            </ns0:r>
          </ns0:p>
        </ns0:tc>
        <ns0:tc>
          <ns0:tcPr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jc ns0:val="left"/>
            </ns0:pPr>
            <ns0:r>
              <ns0:rPr>
                <ns0:rFonts ns0:ascii="Times New Roman" ns0:hAnsi="Times New Roman" ns0:cs="Times New Roman"/>
                <ns0:sz ns0:val="22"/>
                <ns0:szCs ns0:val="22"/>
              </ns0:rPr>
              <ns0:t>[уточнить]</ns0:t>
            </ns0:r>
          </ns0:p>
        </ns0:tc>
      </ns0:tr>
    </ns0:tbl>
    <ns0:sectPr>
      <ns0:pgSz ns0:w="11906" ns0:h="16838"/>
      <ns0:pgMar ns0:top="1134" ns0:right="850" ns0:bottom="1134" ns0:left="1417" ns0:header="567" ns0:footer="567" ns0:gutter="0"/>
      <ns0:headerReference ns0:type="default" ns1:id="rId2"/>
    </ns0:sectPr>
  </ns0:body>
</ns0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Heading2">
    <w:name w:val="heading 2"/>
    <w:basedOn w:val="Normal"/>
    <w:next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Codex OOXML Generator</Application>
</Properties>
</file>

<file path=docProps/core.xml><?xml version="1.0" encoding="utf-8"?>
<cp:coreProperties xmlns:cp="http://schemas.openxmlformats.org/package/2006/metadata/core-properties" xmlns:dc="http://purl.org/dc/elements/1.1/">
  <dc:title>Техническое задание на субплату 4×IEEE C37.94 и функциональный модуль</dc:title>
  <dc:subject>Составная часть ОКР «Развитие-ТСА»</dc:subject>
</cp:coreProperties>
</file>