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60" w:after="100" w:line="276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СОГЛАСОВАНО                                      СОГЛАСОВАНО                                      УТВЕРЖДАЮ</w:t>
      </w:r>
    </w:p>
    <w:p>
      <w:pPr>
        <w:jc w:val="center"/>
        <w:spacing w:before="0" w:after="20" w:line="276" w:lineRule="auto"/>
      </w:pPr>
      <w:r>
        <w:rPr>
          <w:rFonts w:ascii="Times New Roman" w:hAnsi="Times New Roman" w:cs="Times New Roman"/>
          <w:sz w:val="18"/>
          <w:szCs w:val="18"/>
        </w:rPr>
        <w:t xml:space="preserve">Заказчик / НИО заказчика [уточнить]       Исполнитель составной части ОКР             Головной исполнитель ОКР [уточнить]</w:t>
      </w:r>
    </w:p>
    <w:p>
      <w:pPr>
        <w:jc w:val="center"/>
        <w:spacing w:before="0" w:after="20" w:line="276" w:lineRule="auto"/>
      </w:pPr>
      <w:r>
        <w:rPr>
          <w:rFonts w:ascii="Times New Roman" w:hAnsi="Times New Roman" w:cs="Times New Roman"/>
          <w:sz w:val="16"/>
          <w:szCs w:val="16"/>
        </w:rPr>
        <w:t xml:space="preserve">должность, организация [уточнить]          должность, организация [уточнить]          должность, организация [уточнить]</w:t>
      </w:r>
    </w:p>
    <w:p>
      <w:pPr>
        <w:jc w:val="center"/>
        <w:spacing w:before="0" w:after="20" w:line="276" w:lineRule="auto"/>
      </w:pPr>
      <w:r>
        <w:rPr>
          <w:rFonts w:ascii="Times New Roman" w:hAnsi="Times New Roman" w:cs="Times New Roman"/>
          <w:sz w:val="16"/>
          <w:szCs w:val="16"/>
        </w:rPr>
        <w:t xml:space="preserve">Подпись __________  Ф.И.О. [уточнить]     Подпись __________  Ф.И.О. [уточнить]     Подпись __________  Ф.И.О. [уточнить]</w:t>
      </w:r>
    </w:p>
    <w:p>
      <w:pPr>
        <w:jc w:val="center"/>
        <w:spacing w:before="0" w:after="20" w:line="276" w:lineRule="auto"/>
      </w:pPr>
      <w:r>
        <w:rPr>
          <w:rFonts w:ascii="Times New Roman" w:hAnsi="Times New Roman" w:cs="Times New Roman"/>
          <w:sz w:val="16"/>
          <w:szCs w:val="16"/>
        </w:rPr>
        <w:t xml:space="preserve">«___» __________ 20__ г.                  «___» __________ 20__ г.                  «___» __________ 20__ г.</w:t>
      </w:r>
    </w:p>
    <w:p>
      <w:pPr>
        <w:jc w:val="left"/>
        <w:spacing w:before="100" w:after="20" w:line="276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СОГЛАСОВАНО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16"/>
          <w:szCs w:val="16"/>
        </w:rPr>
        <w:t xml:space="preserve">Исполнитель составной части ОКР [организация-исполнитель]; должность [уточнить]; подпись __________; Ф.И.О. [уточнить]; «___» __________ 20__ г.</w:t>
      </w:r>
    </w:p>
    <w:p>
      <w:pPr>
        <w:jc w:val="center"/>
        <w:spacing w:before="1000" w:after="180" w:line="276" w:lineRule="auto"/>
      </w:pPr>
      <w:r>
        <w:rPr>
          <w:rFonts w:ascii="Times New Roman" w:hAnsi="Times New Roman" w:cs="Times New Roman"/>
          <w:sz w:val="26"/>
          <w:szCs w:val="26"/>
          <w:b/>
        </w:rPr>
        <w:t xml:space="preserve">ПРОЕКТ</w:t>
      </w:r>
    </w:p>
    <w:p>
      <w:pPr>
        <w:jc w:val="center"/>
        <w:spacing w:before="120" w:after="80" w:line="276" w:lineRule="auto"/>
      </w:pPr>
      <w:r>
        <w:rPr>
          <w:rFonts w:ascii="Times New Roman" w:hAnsi="Times New Roman" w:cs="Times New Roman"/>
          <w:sz w:val="32"/>
          <w:szCs w:val="32"/>
          <w:b/>
        </w:rPr>
        <w:t xml:space="preserve">ТЕХНИЧЕСКОЕ ЗАДАНИЕ</w:t>
      </w:r>
    </w:p>
    <w:p>
      <w:pPr>
        <w:jc w:val="center"/>
        <w:spacing w:before="0" w:after="300" w:line="276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НА СОСТАВНУЮ ЧАСТЬ ОПЫТНО-КОНСТРУКТОРСКОЙ РАБОТЫ</w:t>
      </w:r>
    </w:p>
    <w:p>
      <w:pPr>
        <w:jc w:val="center"/>
        <w:spacing w:before="0" w:after="150" w:line="276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Разработка сменной интерфейсной субплаты 4×IEEE C37.94 и функционального модуля релейной защиты для универсального базового модуля AMC семейства ДММП</w:t>
      </w:r>
    </w:p>
    <w:p>
      <w:pPr>
        <w:jc w:val="center"/>
        <w:spacing w:before="0" w:after="15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Шифр ОКР «Развитие-ТСА»</w:t>
      </w:r>
    </w:p>
    <w:p>
      <w:pPr>
        <w:jc w:val="center"/>
        <w:spacing w:before="0" w:after="150"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Обозначение составной части изделия: [уточнить]</w:t>
      </w:r>
    </w:p>
    <w:p>
      <w:pPr>
        <w:jc w:val="center"/>
        <w:spacing w:before="0" w:after="100"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Регистрационный номер: [уточнить]</w:t>
      </w:r>
    </w:p>
    <w:p>
      <w:r>
        <w:br w:type="page"/>
      </w:r>
    </w:p>
    <w:p>
      <w:pPr>
        <w:jc w:val="center"/>
        <w:spacing w:before="200" w:after="260" w:line="276" w:lineRule="auto"/>
      </w:pPr>
      <w:r>
        <w:rPr>
          <w:rFonts w:ascii="Times New Roman" w:hAnsi="Times New Roman" w:cs="Times New Roman"/>
          <w:sz w:val="28"/>
          <w:szCs w:val="28"/>
          <w:b/>
        </w:rPr>
        <w:t xml:space="preserve">ЛИСТ СОГЛАСОВАНИЯ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Организация / роль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Должность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Ф.И.О.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Подпись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Дата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Заказчик / НИО заказчика 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Головной исполнитель ОКР 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Исполнитель СЧ ОКР: [организация-исполнитель]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Другие согласующие организации 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</w:tbl>
    <w:p>
      <w:pPr>
        <w:spacing w:before="180" w:after="90" w:line="276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Примечание — Согласование и утверждение выполняются в порядке, установленном для ТЗ на составную часть ОКР. Незаданные реквизиты подлежат уточнению.</w:t>
      </w:r>
    </w:p>
    <w:p>
      <w:r>
        <w:br w:type="page"/>
      </w:r>
    </w:p>
    <w:p>
      <w:pPr>
        <w:jc w:val="center"/>
        <w:spacing w:before="180" w:after="180" w:line="276" w:lineRule="auto"/>
      </w:pPr>
      <w:r>
        <w:rPr>
          <w:rFonts w:ascii="Times New Roman" w:hAnsi="Times New Roman" w:cs="Times New Roman"/>
          <w:sz w:val="28"/>
          <w:szCs w:val="28"/>
          <w:b/>
        </w:rPr>
        <w:t xml:space="preserve">ПЕРЕЧЕНЬ ОБОЗНАЧЕНИЙ И СОКРАЩЕНИЙ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Обозначение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Расшифровка / значение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AMC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Advanced Mezzanine Card; формат модуля по PICMG AMC.0.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B2B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board-to-board; межплатное соединение субплаты с базовой платой.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Board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идентификатор субплаты, используемый для автоматического выбора и загрузки bitstream.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CDR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clock and data recovery; восстановление тактовой частоты и данных.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Carrier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несущая плата платформы ДММП для установки AMC.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DDM/DOM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цифровой диагностический мониторинг / цифровой оптический мониторинг трансивера.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ДММП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обозначение семейства платформ; расшифровка [уточнить].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ДЗЛ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дифференциальная защита линий.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ДФЗ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дифференциально-фазная защита.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ОТК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отдел технического контроля.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ОКР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опытно-конструкторская работа.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ПЛИС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ПМИ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программа и методика испытаний.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РЗА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релейная защита и автоматика.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РКД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рабочая конструкторская документация.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РМО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система (средство) мониторинга, в которую передаётся телеметрия; расшифровка [уточнить].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ЭКБ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электронная компонентная база.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EEPROM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электрически стираемое программируемое постоянное запоминающее устройство.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Fabric 10GbE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коммутируемая Ethernet-фабрика 10 Gigabit Ethernet.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FPGA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Field-Programmable Gate Array; ПЛИС.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I2C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двухпроводная последовательная шина Inter-Integrated Circuit.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IP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Internet Protocol; сетевой протокол.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L2/L3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второй / третий уровень модели взаимодействия сетевых протоколов.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LC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тип малогабаритного оптического разъёма.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LOF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Loss of Frame; потеря кадровой синхронизации.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LOS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Loss of Signal; потеря сигнала.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MMC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контроллер управления модулем (Module Management Controller).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MIB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Management Information Base; база управляющей информации.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MTBF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средняя наработка на отказ.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P2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Hitless 1+1; режим резервирования двумя идентичными копиями по независимым трактам.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PDV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Packet Delay Variation; вариация задержки пакетов.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PRBS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псевдослучайная двоичная последовательность.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PTPv2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вторая версия Precision Time Protocol.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QoS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качество обслуживания.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RX_CLK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выход восстановленной тактовой частоты приёма.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SoC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System on Chip; система на кристалле.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SFP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Small Form-factor Pluggable; сменный оптический трансивер.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TCLK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тактовый сигнал 19,44 МГц.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TX/RX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передача / приём.</w:t>
            </w:r>
          </w:p>
        </w:tc>
      </w:tr>
      <w:t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UDP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User Datagram Protocol; протокол пользовательских дейтаграмм.</w:t>
            </w:r>
          </w:p>
        </w:tc>
      </w:tr>
    </w:tbl>
    <w:p>
      <w:r>
        <w:br w:type="page"/>
      </w:r>
    </w:p>
    <w:p>
      <w:pPr>
        <w:jc w:val="center"/>
        <w:spacing w:before="180" w:after="160" w:line="276" w:lineRule="auto"/>
      </w:pPr>
      <w:r>
        <w:rPr>
          <w:rFonts w:ascii="Times New Roman" w:hAnsi="Times New Roman" w:cs="Times New Roman"/>
          <w:sz w:val="28"/>
          <w:szCs w:val="28"/>
          <w:b/>
        </w:rPr>
        <w:t xml:space="preserve">ПЕРЕЧЕНЬ ПРИМЕНИМЫХ НОРМАТИВНЫХ И СПРАВОЧНЫХ ДОКУМЕНТОВ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1. ГОСТ 15.016-2016 «Система разработки и постановки продукции на производство. Техническое задание. Требования к содержанию и оформлению».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2. IEEE C37.94-2017; совместимость с IEEE C37.94-2002.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3. ITU-T G.823.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4. SFF-8472.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5. IEEE 802.1p/Q.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6. PICMG AMC.0 R2.0.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7. ГОСТ РВ 20.39.304-98.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8. ГОСТ В 25803-91.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9. ГОСТ 2.114-2016.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10. ГОСТ РВ 15.201-2003.</w:t>
      </w:r>
    </w:p>
    <w:p>
      <w:pPr>
        <w:spacing w:before="0" w:after="55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11. ГОСТ 15150.</w:t>
      </w:r>
    </w:p>
    <w:p>
      <w:pPr>
        <w:spacing w:before="100" w:after="90" w:line="276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Примечание — Документы применяются в пределах требований, прямо установленных настоящим ТЗ. Реквизиты документов, не приведённые в исходных требованиях, не конкретизированы.</w:t>
      </w:r>
    </w:p>
    <w:p>
      <w:r>
        <w:br w:type="page"/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1. Наименование, шифр, основание, исполнители и сроки ОКР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1.1 Наименование СЧ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1.2 Шифр ОКР — «Развитие-ТСА». Дополнительный шифр СЧ ОКР — [уточнить].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1.3 Основание выполнения: приказ об открытии инициативной ОКР № [уточнить] от [уточнить].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1.4 Исполнитель СЧ ОКР — [организация-исполнитель]. Головной исполнитель ОКР — [уточнить].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1.5 Сроки выполнения СЧ ОКР и ОКР в целом устанавливаются утверждённым планом-графиком разработки РКД, программной документации, изготовления образцов и испытаний. Даты начала и окончания — [уточнить].</w:t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2. Цель выполнения, наименование, назначение и область применения изделия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2.1 Цель — обеспечить оптические каналы терминалов РЗА/ДЗЛ и ДФЗ, противоаварийной автоматики и регистраторов аварийных событий подстанций ДММП для прозрачной передачи N×64 кбит/с с фиксированной низкой задержкой, симметрией, резервированием P2 и безопасным аварийным поведением.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2.2 Аппаратная часть изделия включает сменную субплату, оптические интерфейсы, защитные цепи, трансиверы и EEPROM.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2.3 Логическая часть изделия включает функциональный модуль ПЛИС базовой платы, автоматически активируемый по Board ID.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2.4 Изделие устанавливается как AMC на Carrier платформы ДММП.</w:t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3. Технические требования к изделию</w:t>
      </w:r>
    </w:p>
    <w:p>
      <w:pPr>
        <w:jc w:val="left"/>
        <w:spacing w:before="120" w:after="100" w:line="276" w:lineRule="auto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3.1. Архитектура и оптические интерфейсы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3.1.1 Субплата должна содержать четыре независимых оптических порта LC/SFP, трансиверы 850/1310 нм с CDR, защитные цепи, DDM/DOM, EEPROM Board ID 0x05 и индикацию.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3.1.2 Связь субплаты с базовой платой должна выполняться по B2B. Базовая плата должна предоставлять +12 В, +3,3 В, MMC, тактирование и автоматическую загрузку bitstream из Flash по Board ID.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3.1.3 Должны быть предусмотрены четыре экранированные корзины SFP / дуплексные LC с отдельными волокнами TX/RX. Окончательное исполнение альтернативы LC/SFP — [уточнить].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3.1.4 Для оптики 850 нм должны поддерживаться многомодовые волокна MM 50/125 или 62,5/125 мкм на расстоянии до 2 км. Для оптики 1310 нм должны поддерживаться одномодовые волокна SM 9/125 мкм на расстоянии 20–40 км.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3.1.5 Должны быть предусмотрены линии TX_DISABLE, TX_FAULT, RX_LOS. Должен выполняться опрос DDM/DOM по I2C согласно SFF-8472, контроль мощности TX/RX, температуры и тока лазера с передачей телеметрии в РМО.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3.1.6 Каждый порт должен независимо поддерживать N = 1…12 каналов по 64 кбит/с, полезную скорость 64–768 кбит/с и кадровый поток 2048 кбит/с.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3.1.7 Передача должна соответствовать IEEE C37.94-2017 с совместимостью IEEE C37.94-2002, без изменения или инверсии пользовательских битов.</w:t>
      </w:r>
    </w:p>
    <w:p>
      <w:pPr>
        <w:spacing w:after="%s" w:line="276"/>
      </w:pPr>
      <w:r>
        <w:rPr>
          <w:rFonts w:ascii="Times New Roman" w:hAnsi="Times New Roman" w:cs="Times New Roman"/>
          <w:sz w:val="24"/>
          <w:szCs w:val="24"/>
          <w:b/>
        </w:rPr>
        <w:t xml:space="preserve">Проверка. </w:t>
      </w:r>
      <w:r>
        <w:rPr>
          <w:rFonts w:ascii="Times New Roman" w:hAnsi="Times New Roman" w:cs="Times New Roman"/>
          <w:sz w:val="24"/>
          <w:szCs w:val="24"/>
        </w:rPr>
        <w:t xml:space="preserve">Состав, интерфейсы, Board ID, параметры волокон, скорости, DDM/DOM и сохранение пользовательских битов проверяют осмотром, анализом и испытанием. Условия и методика измерений — [уточнить].</w:t>
      </w:r>
    </w:p>
    <w:p>
      <w:pPr>
        <w:jc w:val="left"/>
        <w:spacing w:before="120" w:after="100" w:line="276" w:lineRule="auto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3.2. Пакетная передача, резервирование и безопасные состояния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3.2.1 C37.94-over-Packet должен использовать Ethernet L2, фиксированный период пакетизации, Fabric 10GbE и Strict Priority QoS по IEEE 802.1p/Q.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3.2.2 Использование L3/UDP/IP допускается при необходимости с процессорным ядром SoC FPGA либо со статической аппаратной подстановкой заголовка.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3.2.3 Задержка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3.2.4 Независимый джиттер-буфер должен компенсировать PDV без выпадения кадров.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3.2.5 Ретрансляция потерянных пакетов запрещена. Единичный пропуск должен фиксироваться как ошибка и обозначаться Yellow Alarm / LOF. Превышение настраиваемого порога последовательных потерь должно вызывать Laser Off. Число потерь и абсолютная задержка — [уточнить].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3.2.6 Должен быть реализован P2 (Hitless 1+1): две идентичные копии по независимым трактам, поштучная дедупликация и отсутствие потери битов при отказе одного пути.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3.2.7 При LOS/LOF либо потере сетевого тракта должен формироваться Yellow Alarm или выполняться немедленный Laser Off. Недостоверные, случайные и повторно воспроизведённые устаревшие данные РЗА не допускаются.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3.2.8 Условия выбора безопасного состояния при сохранении второго пути — [уточнить].</w:t>
      </w:r>
    </w:p>
    <w:p>
      <w:pPr>
        <w:spacing w:after="%s" w:line="276"/>
      </w:pPr>
      <w:r>
        <w:rPr>
          <w:rFonts w:ascii="Times New Roman" w:hAnsi="Times New Roman" w:cs="Times New Roman"/>
          <w:sz w:val="24"/>
          <w:szCs w:val="24"/>
          <w:b/>
        </w:rPr>
        <w:t xml:space="preserve">Проверка. </w:t>
      </w:r>
      <w:r>
        <w:rPr>
          <w:rFonts w:ascii="Times New Roman" w:hAnsi="Times New Roman" w:cs="Times New Roman"/>
          <w:sz w:val="24"/>
          <w:szCs w:val="24"/>
        </w:rPr>
        <w:t xml:space="preserve">Пакетизацию, QoS, асимметрию, компенсацию PDV, отсутствие ретрансляции, реакции на потери/LOS/LOF и P2 проверяют испытанием и измерением; наблюдаемыми результатами являются состояние Yellow Alarm либо Laser Off, отсутствие потери битов при отказе одного пути и отсутствие недостоверных, случайных и повторно воспроизведённых устаревших данных. Абсолютная задержка, порог потерь, условия безопасного состояния и методика — [уточнить].</w:t>
      </w:r>
    </w:p>
    <w:p>
      <w:pPr>
        <w:jc w:val="left"/>
        <w:spacing w:before="120" w:after="100" w:line="276" w:lineRule="auto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3.3. Тактирование, диагностика и конструкция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3.3.1 Для каждого порта должны быть предусмотрены режимы: Loop timing от входного сигнала, TCLK 19,44 МГц, PTPv2 и локальный Holdover.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3.3.2 Восстановленные 2048 кГц выбранного порта должны выдаваться в RX_CLK. Джиттер/вандер должны соответствовать ITU-T G.823.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3.3.3 Должны контролироваться LOS, LOF, Yellow Alarm, битовые ошибки и DDM. На каждом порту должны быть предусмотрены Optical Loopback, Payload Loopback, Ethernet Packet Loopback, а также генератор/анализатор PRBS 2^15−1 и 2^23−1.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3.3.4 Потребляемая мощность субплаты должна быть не более 12 Вт; потребляемая мощность сборки с базовой платой — не более 35 Вт.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3.3.5 Конструктивное исполнение — Single Full-size AMC.0; габаритные размеры 73,5 × 180,6 × 28,95 мм. Межплатное крепление должно выполняться на 4–6 металлических стойках М2,5.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3.3.6 Стойкость должна соответствовать ГОСТ РВ 20.39.304-98, группы 1.1, 1.3, 1.4.1, исполнение «О»: рабочая температура −10…+50 °C, предельная температура −40…+65 °C, синусоидальная вибрация 5g, удары 15g. Радиопомехи — группа 1.1.1 ГОСТ В 25803-91.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3.3.7 MTBF должен быть не менее 15 000 ч. Назначенный срок службы должен быть не менее 20 лет.</w:t>
      </w:r>
    </w:p>
    <w:p>
      <w:pPr>
        <w:spacing w:after="%s" w:line="276"/>
      </w:pPr>
      <w:r>
        <w:rPr>
          <w:rFonts w:ascii="Times New Roman" w:hAnsi="Times New Roman" w:cs="Times New Roman"/>
          <w:sz w:val="24"/>
          <w:szCs w:val="24"/>
          <w:b/>
        </w:rPr>
        <w:t xml:space="preserve">Проверка. </w:t>
      </w:r>
      <w:r>
        <w:rPr>
          <w:rFonts w:ascii="Times New Roman" w:hAnsi="Times New Roman" w:cs="Times New Roman"/>
          <w:sz w:val="24"/>
          <w:szCs w:val="24"/>
        </w:rPr>
        <w:t xml:space="preserve">Режимы тактирования, RX_CLK, соответствие G.823, диагностику, петли, PRBS, мощность, габаритные размеры, крепление, стойкость, радиопомехи, MTBF и назначенный срок службы проверяют измерением, испытанием, анализом и осмотром. Погрешности измерений, условия испытаний и методика подтверждения показателей надёжности — [уточнить].</w:t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4. Технико-экономические требования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4.1 Технико-экономические требования не предъявляются.</w:t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5. Требования к видам обеспечения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5.1 Нормативное обеспечение должно включать документы, перечисленные в перечне применимых нормативных и справочных документов настоящего ТЗ.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5.2 Метрологическое обеспечение должно предусматривать средства и методики измерения оптической мощности, джиттера по ITU-T G.823, сквозной задержки и асимметрии. Незаданные допуски не устанавливаются.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5.3 Диагностическое обеспечение должно предусматривать регистрацию DDM, LOS/LOF/Yellow Alarm и статистики задержки, формирование сообщений и отчётов для РМО.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5.4 Программное обеспечение должно включать bitstream функционального модуля для Flash базовой платы, драйверы Linux и MIB для РМО.</w:t>
      </w:r>
    </w:p>
    <w:p>
      <w:pPr>
        <w:spacing w:after="%s" w:line="276"/>
      </w:pPr>
      <w:r>
        <w:rPr>
          <w:rFonts w:ascii="Times New Roman" w:hAnsi="Times New Roman" w:cs="Times New Roman"/>
          <w:sz w:val="24"/>
          <w:szCs w:val="24"/>
          <w:b/>
        </w:rPr>
        <w:t xml:space="preserve">Проверка. </w:t>
      </w:r>
      <w:r>
        <w:rPr>
          <w:rFonts w:ascii="Times New Roman" w:hAnsi="Times New Roman" w:cs="Times New Roman"/>
          <w:sz w:val="24"/>
          <w:szCs w:val="24"/>
        </w:rPr>
        <w:t xml:space="preserve">Наличие и работу средств, методик, регистрации, сообщений, отчётов, bitstream, драйверов Linux и MIB проверяют анализом и испытанием. Состав средств измерений, методики и форматы сообщений/отчётов — [уточнить].</w:t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6. Требования к сырью, материалам и комплектующим изделиям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6.1 Для материалов и комплектующих изделий должен устанавливаться приоритет отечественных материалов и комплектующих с приёмкой ОТК.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6.2 При отсутствии аналогов допускается применение импортной ЭКБ промышленного температурного диапазона.</w:t>
      </w:r>
    </w:p>
    <w:p>
      <w:pPr>
        <w:spacing w:after="%s" w:line="276"/>
      </w:pPr>
      <w:r>
        <w:rPr>
          <w:rFonts w:ascii="Times New Roman" w:hAnsi="Times New Roman" w:cs="Times New Roman"/>
          <w:sz w:val="24"/>
          <w:szCs w:val="24"/>
          <w:b/>
        </w:rPr>
        <w:t xml:space="preserve">Проверка. </w:t>
      </w:r>
      <w:r>
        <w:rPr>
          <w:rFonts w:ascii="Times New Roman" w:hAnsi="Times New Roman" w:cs="Times New Roman"/>
          <w:sz w:val="24"/>
          <w:szCs w:val="24"/>
        </w:rPr>
        <w:t xml:space="preserve">Происхождение материалов и комплектующих, наличие приёмки ОТК, а при применении импортной ЭКБ — отсутствие отечественного аналога и промышленный температурный диапазон проверяют анализом сопроводительной документации. Перечень материалов и ЭКБ — [уточнить].</w:t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7. Требования к консервации, упаковке и маркировке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7.1 Маркировка должна содержать децимальный и серийный номера, ревизию и обозначения портов C37-1…C37-4.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7.2 Оптические разъёмы должны быть защищены колпачками.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7.3 Хранение в заводской таре должно быть не менее 1 года по ГОСТ 15150. Условия консервации — [уточнить].</w:t>
      </w:r>
    </w:p>
    <w:p>
      <w:pPr>
        <w:spacing w:after="%s" w:line="276"/>
      </w:pPr>
      <w:r>
        <w:rPr>
          <w:rFonts w:ascii="Times New Roman" w:hAnsi="Times New Roman" w:cs="Times New Roman"/>
          <w:sz w:val="24"/>
          <w:szCs w:val="24"/>
          <w:b/>
        </w:rPr>
        <w:t xml:space="preserve">Проверка. </w:t>
      </w:r>
      <w:r>
        <w:rPr>
          <w:rFonts w:ascii="Times New Roman" w:hAnsi="Times New Roman" w:cs="Times New Roman"/>
          <w:sz w:val="24"/>
          <w:szCs w:val="24"/>
        </w:rPr>
        <w:t xml:space="preserve">Маркировку, наличие колпачков и срок хранения в заводской таре проверяют осмотром и анализом документации. Условия консервации — [уточнить].</w:t>
      </w:r>
    </w:p>
    <w:p>
      <w:pPr>
        <w:jc w:val="left"/>
        <w:spacing w:before="180" w:after="100" w:line="276" w:lineRule="auto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8. Специальные требования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8.1 РМО (C++/Qt) должна отображать мнемосхему четырёх портов, N, DDM в дБм, LOS/LOF/Yellow Alarm, задержку, асимметрию и статус P2.</w:t>
      </w:r>
    </w:p>
    <w:p>
      <w:pPr>
        <w:spacing w:before="0" w:after="9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8.2 Должны быть предусмотрены команды настройки N, режима тактирования и P2, управления петлями и запуска PRBS.</w:t>
      </w:r>
    </w:p>
    <w:p>
      <w:pPr>
        <w:spacing w:after="%s" w:line="276"/>
      </w:pPr>
      <w:r>
        <w:rPr>
          <w:rFonts w:ascii="Times New Roman" w:hAnsi="Times New Roman" w:cs="Times New Roman"/>
          <w:sz w:val="24"/>
          <w:szCs w:val="24"/>
          <w:b/>
        </w:rPr>
        <w:t xml:space="preserve">Проверка. </w:t>
      </w:r>
      <w:r>
        <w:rPr>
          <w:rFonts w:ascii="Times New Roman" w:hAnsi="Times New Roman" w:cs="Times New Roman"/>
          <w:sz w:val="24"/>
          <w:szCs w:val="24"/>
        </w:rPr>
        <w:t xml:space="preserve">Отображение РМО и выполнение команд проверяют испытанием; наблюдаемыми результатами являются отображение указанных состояний и параметров, а также выполнение настроек N, режима тактирования и P2, управления петлями и запуска PRBS. Формат интерфейса РМО и порядок выполнения команд — [уточнить].</w:t>
      </w:r>
    </w:p>
    <w:p>
      <w:r>
        <w:br w:type="page"/>
      </w:r>
    </w:p>
    <w:p>
      <w:pPr>
        <w:jc w:val="center"/>
        <w:spacing w:before="180" w:after="220" w:line="276" w:lineRule="auto"/>
      </w:pPr>
      <w:r>
        <w:rPr>
          <w:rFonts w:ascii="Times New Roman" w:hAnsi="Times New Roman" w:cs="Times New Roman"/>
          <w:sz w:val="28"/>
          <w:szCs w:val="28"/>
          <w:b/>
        </w:rPr>
        <w:t xml:space="preserve">РАЗРАБОТЧИКИ ТЕХНИЧЕСКОГО ЗАДАНИЯ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Должность, организация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Подпись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Инициалы, фамилия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Дата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</w:tbl>
    <w:p>
      <w:pPr>
        <w:spacing w:before="240" w:after="100" w:line="276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СОГЛАСОВАНО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Должность, организация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Подпись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Инициалы, фамилия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  <w:b/>
              </w:rPr>
              <w:t xml:space="preserve">Дата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Головной исполнитель ОКР 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Другие согласующие организации 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__________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[уточнить]</w:t>
            </w:r>
          </w:p>
        </w:tc>
      </w:tr>
    </w:tbl>
    <w:sectPr>
      <w:pgSz w:w="11906" w:h="16838"/>
      <w:pgMar w:top="1134" w:right="1134" w:bottom="1134" w:left="1701" w:header="708" w:footer="708" w:gutter="0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Times New Roman" w:hAnsi="Times New Roman"/>
        <w:sz w:val="20"/>
      </w:rP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«Развитие-ТСА»</dc:title>
  <dc:language>ru-RU</dc:language>
  <dc:creator>[уточнить]</dc:creator>
</cp:coreProperties>
</file>