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[наименование заказчика]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[наименование головного исполнителя ОКР]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СОГЛАСОВАНОЗаказчик / НИО заказчика_________________________подпись, инициалы, фамилия«___» __________ 20__ г.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УТВЕРЖДАЮГоловной исполнитель ОКР_________________________подпись, инициалы, фамилия«___» __________ 20__ г.</w:t>
            </w:r>
          </w:p>
        </w:tc>
      </w:tr>
    </w:tbl>
    <w:p>
      <w:pPr>
        <w:jc w:val="center"/>
        <w:spacing w:before="240" w:after="160" w:line="276"/>
      </w:pPr>
      <w:r>
        <w:rPr>
          <w:rFonts w:ascii="Times New Roman" w:hAnsi="Times New Roman" w:eastAsia="Times New Roman"/>
          <w:b/>
          <w:bCs/>
          <w:sz w:val="30"/>
          <w:szCs w:val="30"/>
        </w:rPr>
        <w:t xml:space="preserve">ТЕХНИЧЕСКОЕ ЗАДАНИЕ</w:t>
      </w:r>
      <w:br/>
      <w:r>
        <w:rPr>
          <w:rFonts w:ascii="Times New Roman" w:hAnsi="Times New Roman" w:eastAsia="Times New Roman"/>
          <w:b/>
          <w:bCs/>
          <w:sz w:val="30"/>
          <w:szCs w:val="30"/>
        </w:rPr>
        <w:t xml:space="preserve">НА СОСТАВНУЮ ЧАСТЬ</w:t>
      </w:r>
      <w:br/>
      <w:r>
        <w:rPr>
          <w:rFonts w:ascii="Times New Roman" w:hAnsi="Times New Roman" w:eastAsia="Times New Roman"/>
          <w:b/>
          <w:bCs/>
          <w:sz w:val="30"/>
          <w:szCs w:val="30"/>
        </w:rPr>
        <w:t xml:space="preserve">ОПЫТНО-КОНСТРУКТОРСКОЙ РАБОТЫ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«Развитие-ТСА»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Разработка сменной интерфейсной субплаты 8×E1</w:t>
      </w:r>
      <w:br/>
      <w:r>
        <w:rPr>
          <w:rFonts w:ascii="Times New Roman" w:hAnsi="Times New Roman" w:eastAsia="Times New Roman"/>
          <w:sz w:val="24"/>
          <w:szCs w:val="24"/>
        </w:rPr>
        <w:t xml:space="preserve">и функционального модуля E1 для универсального базового модуля AMC семейства ДММП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Обозначение составной части изделия: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Регистрационный номер: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Дата: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</w:tbl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Действует с дополнением: [уточнить]</w:t>
      </w:r>
    </w:p>
    <w:p>
      <w:pPr>
        <w:jc w:val="center"/>
        <w:spacing w:before="240" w:after="160" w:line="276"/>
      </w:pPr>
      <w:br w:type="page"/>
      <w:r>
        <w:rPr>
          <w:rFonts w:ascii="Times New Roman" w:hAnsi="Times New Roman" w:eastAsia="Times New Roman"/>
          <w:b/>
          <w:bCs/>
          <w:sz w:val="30"/>
          <w:szCs w:val="30"/>
        </w:rPr>
        <w:t xml:space="preserve">ЛИСТ СОГЛАСОВАНИЯ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Техническое задание на составную часть ОКР «Развитие-ТСА» согласовывается и утверждается в порядке, установленном для ТЗ на составную часть ОКР. Поля, для которых исходные данные отсутствуют, обозначены `[уточнить]`.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Организация / должность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Инициалы, фамилия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Заказчик / НИО заказчика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Головной исполнитель ОКР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Исполнитель составной части ОКР — ООО «тушканчик»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Иные согласующие организации (по решению заказчика или головного исполнителя ОКР)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</w:tbl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Срок рассмотрения и согласования проекта ТЗ на составную часть ОКР — не более 15 рабочих дней с момента получения. Разногласия между головным исполнителем ОКР и согласующими организациями разрешаются совместным решением не позднее 10 рабочих дней после получения ТЗ.</w:t>
      </w:r>
    </w:p>
    <w:p>
      <w:pPr>
        <w:jc w:val="center"/>
        <w:spacing w:before="240" w:after="160" w:line="276"/>
      </w:pPr>
      <w:br w:type="page"/>
      <w:r>
        <w:rPr>
          <w:rFonts w:ascii="Times New Roman" w:hAnsi="Times New Roman" w:eastAsia="Times New Roman"/>
          <w:b/>
          <w:bCs/>
          <w:sz w:val="30"/>
          <w:szCs w:val="30"/>
        </w:rPr>
        <w:t xml:space="preserve">ПЕРЕЧЕНЬ ТЕРМИНОВ И СОКРАЩЕНИЙ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Термин / сокращение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Расшифровка / значение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AMC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Advanced Mezzanine Card; стандарт модульной платы, применяемый в платформе ДММП.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АСУ ТП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Автоматизированная система управления технологическим процессом.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BER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Bit Error Rate, коэффициент ошибок по битам.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B2B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Board-to-Board, межплатное соединение.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Board ID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Идентификатор платы в EEPROM, используемый базовой платой для выбора bitstream E1 из Flash; числовое значение — [уточнить].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CAS / CCS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Channel Associated Signaling / Common Channel Signaling; сигнализация по выделенному каналу / по общему каналу.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CESoPSN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Circuit Emulation Services over Packet-Switched Network, эмуляция каналов через пакетную сеть по RFC 5086.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CRC-4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Циклический избыточный контроль CRC-4 в потоке E1.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E1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Цифровой поток 2048 кбит/с.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ESD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Electrostatic Discharge, электростатический разряд.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Flash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Энергонезависимая память базовой платы для хранения bitstream.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HDB3 / AMI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Кодирование HDB3 / Alternate Mark Inversion.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LIU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Line Interface Unit, линейный интерфейсный блок.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LOS / LOF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Loss of Signal / Loss of Frame, потеря сигнала / потеря кадра.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MMC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Management / Module Management Controller, контроллер управления модулем.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PDV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Packet Delay Variation, вариация задержки пакетов.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PLD / ПЛИС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Programmable Logic Device / программируемая логическая интегральная схема.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PRBS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Pseudo-Random Binary Sequence, псевдослучайная двоичная последовательность.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RAI / AIS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Remote Alarm Indication / Alarm Indication Signal, удалённая аварийная индикация / сигнал аварии.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РКД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Рабочая конструкторская документация.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РМО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Рабочее место оператора.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ОКР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Опытно-конструкторская работа.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SAToP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Structure-Agnostic TDM over Packet, передача неструктурированного TDM по пакетной сети по RFC 4553.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TDM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Time Division Multiplexing, мультиплексирование с разделением времени.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TCLK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Системный источник тактового сигнала передатчика.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UAS / SES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Unavailable Seconds / Severely Errored Seconds, недоступные секунды / секунды с тяжёлыми ошибками.</w:t>
            </w:r>
          </w:p>
        </w:tc>
      </w:tr>
    </w:tbl>
    <w:p>
      <w:pPr>
        <w:jc w:val="center"/>
        <w:spacing w:before="240" w:after="160" w:line="276"/>
      </w:pPr>
      <w:br w:type="page"/>
      <w:r>
        <w:rPr>
          <w:rFonts w:ascii="Times New Roman" w:hAnsi="Times New Roman" w:eastAsia="Times New Roman"/>
          <w:b/>
          <w:bCs/>
          <w:sz w:val="30"/>
          <w:szCs w:val="30"/>
        </w:rPr>
        <w:t xml:space="preserve">ПЕРЕЧЕНЬ ПРИМЕНИМЫХ НОРМАТИВНЫХ И СПРАВОЧНЫХ ДОКУМЕНТОВ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Обозначение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Наименование / область применения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ГОСТ 15.016-2016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Система разработки и постановки продукции на производство. Техническое задание. Требования к содержанию и оформлению.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ГОСТ РВ 20.39.304-98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Стойкость изделия; группы 1.1, 1.3, 1.4.1, исполнение «О».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ГОСТ В 25803-91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Радиопомехи; группа 1.1.1.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ГОСТ 15150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Условия хранения и эксплуатации; применён для хранения в заводской таре.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ГОСТ 2.114-2016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ЕСКД. Технические условия.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ГОСТ РВ 15.201-2003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Система разработки и постановки продукции на производство.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ITU-T G.703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Физические и электрические характеристики иерархических цифровых интерфейсов; маска импульса E1.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ITU-T G.704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Структура кадров синхронных цифровых потоков.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ITU-T G.823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Джиттер и вандер в цифровых сетях; требования к синхронизации.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ITU-T G.826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Показатели ошибок и статистика ES, SES, UAS.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RFC 4553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SAToP.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RFC 5086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CESoPSN.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PICMG AMC.0 R2.0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Спецификация Advanced Mezzanine Card.</w:t>
            </w:r>
          </w:p>
        </w:tc>
      </w:tr>
    </w:tbl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Применимость документов ограничена указанными в настоящем ТЗ требованиями. Издание и статус заменяющих документов, если это необходимо для выполнения работ, — [уточнить].</w:t>
      </w:r>
    </w:p>
    <w:p>
      <w:pPr>
        <w:jc w:val="left"/>
        <w:spacing w:before="260" w:after="100" w:line="276"/>
      </w:pPr>
      <w:r>
        <w:rPr>
          <w:rFonts w:ascii="Times New Roman" w:hAnsi="Times New Roman" w:eastAsia="Times New Roman"/>
          <w:b/>
          <w:bCs/>
          <w:sz w:val="27"/>
          <w:szCs w:val="27"/>
        </w:rPr>
        <w:t xml:space="preserve">1 Наименование, шифр, основание, исполнители и сроки ОКР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1.1 Наименование составной части ОКР: сменная интерфейсная субплата 8×E1 и функциональный модуль E1 для универсального базового модуля AMC семейства ДММП.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1.2 Шифр ОКР: «Развитие-ТСА».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1.3 Основание для выполнения ОКР: приказ об открытии инициативной ОКР № [уточнить] от [уточнить].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1.4 Исполнитель составной части ОКР: ООО «тушканчик» (условное наименование из исходных данных). Головной исполнитель ОКР, заказчик и иные соисполнители — [уточнить].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1.5 Сроки выполнения работ устанавливаются в соответствии с утверждённым планом-графиком разработки РКД, программной документации, изготовления образцов и испытаний. Даты начала и окончания ОКР и её этапов — [уточнить].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1.6 Требования настоящего ТЗ должны обеспечивать выполнение требований ТЗ на ОКР, в которую входит составная часть, и учитывать условия её применения в изделии в целом.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анализ основания, состава исполнителей и утверждённого плана-графика; при отсутствии реквизитов — уточнение до утверждения ТЗ.</w:t>
      </w:r>
    </w:p>
    <w:p>
      <w:pPr>
        <w:jc w:val="left"/>
        <w:spacing w:before="260" w:after="100" w:line="276"/>
      </w:pPr>
      <w:r>
        <w:rPr>
          <w:rFonts w:ascii="Times New Roman" w:hAnsi="Times New Roman" w:eastAsia="Times New Roman"/>
          <w:b/>
          <w:bCs/>
          <w:sz w:val="27"/>
          <w:szCs w:val="27"/>
        </w:rPr>
        <w:t xml:space="preserve">2 Цель выполнения, наименование, назначение и область применения изделия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2.1 Цель выполнения ОКР — разработать сменную интерфейсную субплату 8×E1 и функциональный модуль E1, обеспечивающие подключение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2.2 Аппаратная часть составной части включает субплату с восемью интерфейсами E1, защитой, импульсными трансформаторами, восьмиканальным LIU, Board ID EEPROM и индикацией портов. Логическая часть включает функциональный модуль ПЛИС базовой платы, автоматически активируемый по Board ID.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2.3 Субплата устанавливается в AMC на Carrier платформы ДММП. По B2B базовая плата предоставляет +12 В, +3,3 В, MMC и тактирование, а также выбирает bitstream E1 из Flash по Board ID.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2.4 Область применения: сети TDM/SDH/PDH, телефонные станции, диспетчеризация и АСУ ТП энергетических и промышленных предприятий.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функциональное испытание в составе AMC на Carrier платформы ДММП с восьмью независимыми линиями E1, передачей TDM через Ethernet, компенсацией PDV и восстановлением частоты.</w:t>
      </w:r>
    </w:p>
    <w:p>
      <w:pPr>
        <w:jc w:val="left"/>
        <w:spacing w:before="260" w:after="100" w:line="276"/>
      </w:pPr>
      <w:r>
        <w:rPr>
          <w:rFonts w:ascii="Times New Roman" w:hAnsi="Times New Roman" w:eastAsia="Times New Roman"/>
          <w:b/>
          <w:bCs/>
          <w:sz w:val="27"/>
          <w:szCs w:val="27"/>
        </w:rPr>
        <w:t xml:space="preserve">3 Технические требования к изделию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3.1 Состав изделия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3.1.1 В состав изделия входят: сменная субплата 8×E1; функциональный модуль E1 ПЛИС базовой платы; Board ID EEPROM; программный bitstream для Flash базовой платы; драйверы Linux; MIB для РМО/SNMP; средства индикации портов и диагностического контроля.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3.1.2 Субплата должна иметь восемь экранированных RJ-48C (8P8C), защиту, импульсные трансформаторы, восьмиканальный LIU, Board ID EEPROM и индикацию портов. Числовое значение Board ID — [уточнить].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3.1.3 Ответственность разделяется следующим образом: субплата обеспечивает физические интерфейсы, защиту, трансформаторную изоляцию, LIU, EEPROM и индикацию; базовая плата через B2B обеспечивает питание, MMC, тактирование и выбор bitstream E1 из Flash; функциональный модуль ПЛИС реализует обработку E1, пакетизацию, QoS, буферизацию, восстановление частоты, аварийные режимы и диагностику; драйверы Linux и MIB обеспечивают программное управление и представление данных РМО/SNMP.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3.2 Требования назначения, интерфейсы и обработка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3.2.1 Каждый порт должен иметь симметричный двухпарный интерфейс 120 Ом, скорость 2048 кбит/с (2,048 Мбит/с) ±50 ppm, кодирование HDB3 или AMI и маску импульса по ITU-T G.703.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3.2.2 Для каждого порта должна быть обеспечена трансформаторная изоляция не менее 1500 В RMS, 50 Гц, в течение 1 мин, а также супрессорная защита от перенапряжений и ESD.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3.2.3 Короткое замыкание, обрыв или перепутывание пар одного порта не должны влиять на другие порты и функциональный модуль.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3.2.4 Для каждого порта независимо должны поддерживаться одновременно заданные профили передачи: профиль А — SAToP по RFC 4553, полный неструктурированный поток с настраиваемой полезной нагрузкой и минимальной аппаратной задержкой; профиль Б — CESoPSN по RFC 5086, N×64 кбит/с, TS1–TS31, G.704, CRC-4, CAS (TS16) и CCS. Режим выбора профиля и конкретные значения настраиваемой полезной нагрузки — [уточнить].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3.2.5 Fabric 10GbE должен работать со Strict Priority QoS, без потерь и с минимальной задержкой коммутации. Джиттер-буфер каждого канала должен иметь диапазон настройки 1–64 мс для компенсации PDV.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3.2.6 При потере пакетов или аварии сети должен выдаваться AIS («все единицы») с сохранением тактирования.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3.2.7 Передатчик должен поддерживать режимы: системный TCLK, ACR от пакетной сети, Free-run/Holdover и Loop timing.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3.2.8 Восстановленный сигнал 2,048 МГц любого выбранного входного порта должен передаваться через B2B как кандидат синхронизации шасси. Джиттер и вандер должны соответствовать ITU-T G.823.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3.2.9 Непрерывно должны контролироваться LOS, LOF в кадровом режиме, AIS, RAI, CRC-4, нарушения HDB3 и Frame slips. Должна формироваться статистика по ITU-T G.826: ES, SES, UAS.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3.2.10 Для каждого порта должны поддерживаться Local Line Loopback, Payload Loopback и Packet Loopback, а также встроенные генератор и анализатор PRBS 215−1 и 223−1 для BER-тестов.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измерение интерфейсных параметров, анализ маски импульса, испытание изоляции, подача аварий одного порта с наблюдением остальных портов, функциональное испытание обоих профилей, режимов тактирования, петлей, PRBS и аварийного AIS. Допуски измерений, методики и оборудование, кроме прямо заданных в ТЗ, — [уточнить].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3.3 Конструктивные требования, эксплуатация и стойкость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3.3.1 Субплата должна крепиться к общему лонжерону-теплоотводу и лицевой панели. Разъёмы должны оставлять доступ к защёлкам, обзор светодиодов и вентиляцию.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3.3.2 При всех активных портах мощность субплаты должна быть не более 12 Вт, сборки — не более 35 Вт.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3.3.3 Конструкция должна соответствовать Single Full-size AMC.0: 73,5 × 180,6 × 28,95 мм. Межплатное крепление — на 4–6 металлических стойках М2,5.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3.3.4 Стойкость изделия должна соответствовать ГОСТ РВ 20.39.304-98, группам 1.1, 1.3, 1.4.1, исполнению «О». Рабочая температура: −10…+50 °C; предельная: −40…+65 °C; синусоидальная вибрация: 5g; удары: 15g. Радиопомехи — группа 1.1.1 ГОСТ В 25803-91.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3.3.5 Средства измерения, контроля и испытаний должны обеспечивать проверку заданных параметров без введения дополнительных, не заданных в ТЗ порогов.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контроль габаритов и крепления, осмотр доступа к разъёмам/индикации/вентиляции, измерение мощности в режиме всех активных портов, анализ соответствия требованиям стойкости и радиопомех. Конкретные методики и условия испытаний — [уточнить] в ПМИ.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3.4 Требования надёжности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3.4.1 Средняя наработка на отказ (MTBF) должна быть не менее 15 000 ч.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3.4.2 Назначенный срок службы должен быть не менее 20 лет.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расчётная и/или расчётно-экспериментальная оценка по согласованной методике; вид метода и исходные данные — [уточнить].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3.5 Требования безопасности и электромагнитной совместимости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3.5.1 Требования к защите интерфейсов от перенапряжений и ESD, к трансформаторной изоляции и к независимости портов устанавливаются пунктами 3.2.2–3.2.3.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3.5.2 Требования к радиопомехам устанавливаются пунктом 3.3.4. Дополнительные нормы ЭМС — [уточнить], если они требуются заказчиком или условиями применения.</w:t>
      </w:r>
    </w:p>
    <w:p>
      <w:pPr>
        <w:jc w:val="left"/>
        <w:spacing w:before="260" w:after="100" w:line="276"/>
      </w:pPr>
      <w:r>
        <w:rPr>
          <w:rFonts w:ascii="Times New Roman" w:hAnsi="Times New Roman" w:eastAsia="Times New Roman"/>
          <w:b/>
          <w:bCs/>
          <w:sz w:val="27"/>
          <w:szCs w:val="27"/>
        </w:rPr>
        <w:t xml:space="preserve">4 Технико-экономические требования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Требования к стоимости ОКР, годовой потребности и цене изделия не предъявляются.</w:t>
      </w:r>
    </w:p>
    <w:p>
      <w:pPr>
        <w:jc w:val="left"/>
        <w:spacing w:before="260" w:after="100" w:line="276"/>
      </w:pPr>
      <w:r>
        <w:rPr>
          <w:rFonts w:ascii="Times New Roman" w:hAnsi="Times New Roman" w:eastAsia="Times New Roman"/>
          <w:b/>
          <w:bCs/>
          <w:sz w:val="27"/>
          <w:szCs w:val="27"/>
        </w:rPr>
        <w:t xml:space="preserve">5 Требования к видам обеспечения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5.1 Нормативно-техническое обеспечение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5.1.1 При разработке должны применяться документы, перечисленные в перечне применимых нормативных и справочных документов, в относящейся к изделию части.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5.1.2 В состав документации должны входить РКД, программная документация и эксплуатационные материалы в объёме, необходимом для разработки, изготовления, испытаний и применения изделия; конкретный состав — [уточнить].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5.2 Метрологическое обеспечение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5.2.1 Должны быть предусмотрены средства и методики измерения маски импульса E1, джиттера/вандера, BER и задержки пакетизации.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5.2.2 Методики должны обеспечивать проверку соответствующих требований настоящего ТЗ. Допуски погрешностей измерений, состав средств измерений, периодичность и порядок метрологической аттестации — [уточнить].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5.3 Диагностическое обеспечение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5.3.1 Должны регистрироваться LOS, LOF, AIS, RAI и счётчики ошибок, включая показатели G.826.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5.3.2 Должны формироваться сообщения и отчёты для РМО. Глубина и формат журналов, правила хранения и передачи — [уточнить].</w:t>
      </w:r>
    </w:p>
    <w:p>
      <w:pPr>
        <w:jc w:val="left"/>
        <w:spacing w:before="180" w:after="80" w:line="276"/>
      </w:pPr>
      <w:r>
        <w:rPr>
          <w:rFonts w:ascii="Times New Roman" w:hAnsi="Times New Roman" w:eastAsia="Times New Roman"/>
          <w:b/>
          <w:bCs/>
          <w:sz w:val="24"/>
          <w:szCs w:val="24"/>
        </w:rPr>
        <w:t xml:space="preserve">5.4 Программное и информационное обеспечение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5.4.1 Должен быть разработан bitstream функционального модуля для Flash базовой платы с автоматической активацией по Board ID.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5.4.2 Должны быть разработаны драйверы Linux и MIB для РМО/SNMP. Версия Linux, структура MIB и требования к совместимости — [уточнить].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инспекция состава документации и ПО, анализ загрузки bitstream по Board ID, функциональное испытание драйверов и MIB, наблюдение диагностических сообщений и отчётов.</w:t>
      </w:r>
    </w:p>
    <w:p>
      <w:pPr>
        <w:jc w:val="left"/>
        <w:spacing w:before="260" w:after="100" w:line="276"/>
      </w:pPr>
      <w:r>
        <w:rPr>
          <w:rFonts w:ascii="Times New Roman" w:hAnsi="Times New Roman" w:eastAsia="Times New Roman"/>
          <w:b/>
          <w:bCs/>
          <w:sz w:val="27"/>
          <w:szCs w:val="27"/>
        </w:rPr>
        <w:t xml:space="preserve">6 Требования к сырью, материалам и комплектующим изделиям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6.1 Должен предусматриваться приоритет отечественных материалов и комплектующих.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6.2 Материалы и комплектующие должны применяться с приёмкой ОТК.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6.3 При отсутствии отечественных аналогов допускается применение импортной электронной компонентной базы промышленного температурного диапазона.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анализ ведомости применяемых материалов и комплектующих, документов поставки и приёмки ОТК; наличие отечественных аналогов и обоснование их отсутствия — [уточнить].</w:t>
      </w:r>
    </w:p>
    <w:p>
      <w:pPr>
        <w:jc w:val="left"/>
        <w:spacing w:before="260" w:after="100" w:line="276"/>
      </w:pPr>
      <w:r>
        <w:rPr>
          <w:rFonts w:ascii="Times New Roman" w:hAnsi="Times New Roman" w:eastAsia="Times New Roman"/>
          <w:b/>
          <w:bCs/>
          <w:sz w:val="27"/>
          <w:szCs w:val="27"/>
        </w:rPr>
        <w:t xml:space="preserve">7 Требования к консервации, упаковке и маркировке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7.1 На изделие и упаковку должны наноситься децимальный и серийный номера, ревизия и маркировка портов E1-1…E1-8.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7.2 Изделие должно поставляться в индивидуальной таре с ESD-защитой.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7.3 Хранение в заводской таре должно обеспечиваться не менее 1 года по ГОСТ 15150.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7.4 Условия и средства консервации, не заданные исходными данными, — [уточнить].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осмотр маркировки, проверка соответствия тары и ESD-защиты, анализ документов на хранение по ГОСТ 15150.</w:t>
      </w:r>
    </w:p>
    <w:p>
      <w:pPr>
        <w:jc w:val="left"/>
        <w:spacing w:before="260" w:after="100" w:line="276"/>
      </w:pPr>
      <w:r>
        <w:rPr>
          <w:rFonts w:ascii="Times New Roman" w:hAnsi="Times New Roman" w:eastAsia="Times New Roman"/>
          <w:b/>
          <w:bCs/>
          <w:sz w:val="27"/>
          <w:szCs w:val="27"/>
        </w:rPr>
        <w:t xml:space="preserve">8 Специальные требования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8.1 Телеметрия РМО должна быть выполнена на C++/Qt и включать мнемосхему восьми портов, состояния LOS/LOF/AIS/RAI, счётчики G.826, выбранный профиль SAToP/CESoPSN и источник тактирования.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8.2 Должны поддерживаться команды включения и отключения портов, изменения джиттер-буфера, диагностических петель и PRBS.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8.3 Команды должны применяться независимо к каждому порту в пределах поддерживаемых режимов. Формат команд, права доступа и протокол управления — [уточнить].</w:t>
      </w:r>
    </w:p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Проверка: функциональное испытание РМО с каждым из восьми портов, отображение заданных состояний и счётчиков, выполнение каждой команды с наблюдением результата. Критерии времени отклика и состав тестовых данных — [уточнить].</w:t>
      </w:r>
    </w:p>
    <w:p>
      <w:pPr>
        <w:jc w:val="center"/>
        <w:spacing w:before="240" w:after="160" w:line="276"/>
      </w:pPr>
      <w:br w:type="page"/>
      <w:r>
        <w:rPr>
          <w:rFonts w:ascii="Times New Roman" w:hAnsi="Times New Roman" w:eastAsia="Times New Roman"/>
          <w:b/>
          <w:bCs/>
          <w:sz w:val="30"/>
          <w:szCs w:val="30"/>
        </w:rPr>
        <w:t xml:space="preserve">ПОДПИСИ РАЗРАБОТЧИКОВ ТЗ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W w:w="0" w:type="auto"/>
      </w:tblP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Должность / организация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Инициалы, фамилия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Разработчик ТЗ, ООО «тушканчик»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Ответственный представитель головного исполнителя ОКР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Согласующая организация / служба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/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  <w:tc>
          <w:tcPr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jc w:val="left"/>
              <w:spacing w:after="40"/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[уточнить]</w:t>
            </w:r>
          </w:p>
        </w:tc>
      </w:tr>
    </w:tbl>
    <w:p>
      <w:pPr>
        <w:jc w:val="both"/>
        <w:spacing w:before="0" w:after="100" w:line="276"/>
      </w:pPr>
      <w:r>
        <w:rPr>
          <w:rFonts w:ascii="Times New Roman" w:hAnsi="Times New Roman" w:eastAsia="Times New Roman"/>
          <w:sz w:val="24"/>
          <w:szCs w:val="24"/>
        </w:rPr>
        <w:t xml:space="preserve">Лист предназначен для подписей разработчиков ТЗ и согласующих организаций, предусмотренных порядком согласования ТЗ на составную часть ОКР.</w:t>
      </w:r>
    </w:p>
    <w:sectPr>
      <w:pgSz w:w="11906" w:h="16838"/>
      <w:pgMar w:top="1134" w:right="850" w:bottom="1020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line="276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