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0" w:type="auto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СОГЛАСОВАНО
Заказчик (НИО заказчика)
[уточнить]
__________ [уточнить]
«___» _________ 20__ г.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СОГЛАСОВАНО
Исполнитель составной части ОКР
ООО «тушканчик»
__________ [уточнить]
«___» _________ 20__ г.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УТВЕРЖДАЮ
Головной исполнитель ОКР
[уточнить]
__________ [уточнить]
«___» _________ 20__ г.</w:t>
            </w:r>
          </w:p>
        </w:tc>
      </w:tr>
    </w:tbl>
    <w:p>
      <w:pPr>
        <w:spacing w:before="0" w:after="40" w:line="276" w:lineRule="auto"/>
      </w:pPr>
      <w:r>
        <w:rPr>
          <w:sz w:val="24"/>
          <w:szCs w:val="24"/>
        </w:rPr>
        <w:t xml:space="preserve"/>
      </w:r>
    </w:p>
    <w:p>
      <w:pPr>
        <w:spacing w:before="0" w:after="700" w:line="276" w:lineRule="auto"/>
      </w:pPr>
      <w:r>
        <w:rPr>
          <w:sz w:val="24"/>
          <w:szCs w:val="24"/>
        </w:rPr>
        <w:t xml:space="preserve"/>
      </w:r>
    </w:p>
    <w:p>
      <w:pPr>
        <w:jc w:val="center"/>
        <w:spacing w:before="0" w:after="140" w:line="276" w:lineRule="auto"/>
      </w:pPr>
      <w:r>
        <w:rPr>
          <w:b/>
          <w:sz w:val="32"/>
          <w:szCs w:val="32"/>
        </w:rPr>
        <w:t xml:space="preserve">ТЕХНИЧЕСКОЕ ЗАДАНИЕ</w:t>
      </w:r>
    </w:p>
    <w:p>
      <w:pPr>
        <w:jc w:val="center"/>
        <w:spacing w:before="0" w:after="260" w:line="276" w:lineRule="auto"/>
      </w:pPr>
      <w:r>
        <w:rPr>
          <w:b/>
          <w:sz w:val="27"/>
          <w:szCs w:val="27"/>
        </w:rPr>
        <w:t xml:space="preserve">НА СОСТАВНУЮ ЧАСТЬ ОПЫТНО-КОНСТРУКТОРСКОЙ РАБОТЫ</w:t>
      </w:r>
    </w:p>
    <w:p>
      <w:pPr>
        <w:jc w:val="center"/>
        <w:spacing w:before="0" w:after="220" w:line="276" w:lineRule="auto"/>
      </w:pPr>
      <w:r>
        <w:rPr>
          <w:b/>
          <w:sz w:val="25"/>
          <w:szCs w:val="25"/>
        </w:rPr>
        <w:t xml:space="preserve">Разработка сменной интерфейсной субплаты 8×E1 и функционального модуля E1 для универсального базового модуля AMC семейства ДММП</w:t>
      </w:r>
    </w:p>
    <w:p>
      <w:pPr>
        <w:jc w:val="center"/>
        <w:spacing w:before="0" w:after="160" w:line="276" w:lineRule="auto"/>
      </w:pPr>
      <w:r>
        <w:rPr>
          <w:sz w:val="25"/>
          <w:szCs w:val="25"/>
        </w:rPr>
        <w:t xml:space="preserve">Шифр ОКР «Развитие-ТСА»</w:t>
      </w:r>
    </w:p>
    <w:p>
      <w:pPr>
        <w:jc w:val="center"/>
        <w:spacing w:before="0" w:after="700" w:line="276" w:lineRule="auto"/>
      </w:pPr>
      <w:r>
        <w:rPr>
          <w:sz w:val="23"/>
          <w:szCs w:val="23"/>
        </w:rPr>
        <w:t xml:space="preserve">Обозначение составной части изделия: [уточнить]</w:t>
      </w:r>
    </w:p>
    <w:p>
      <w:pPr>
        <w:jc w:val="right"/>
        <w:spacing w:before="0" w:after="80" w:line="276" w:lineRule="auto"/>
      </w:pPr>
      <w:r>
        <w:rPr>
          <w:sz w:val="22"/>
          <w:szCs w:val="22"/>
        </w:rPr>
        <w:t xml:space="preserve">Действует с дополнением: —</w:t>
      </w:r>
    </w:p>
    <w:p>
      <w:r>
        <w:br w:type="page"/>
      </w:r>
    </w:p>
    <w:p>
      <w:pPr>
        <w:pStyle w:val="Heading1"/>
        <w:spacing w:before="160" w:after="100" w:line="276" w:lineRule="auto"/>
        <w:keepNext/>
      </w:pPr>
      <w:r>
        <w:rPr>
          <w:b/>
          <w:sz w:val="28"/>
          <w:szCs w:val="28"/>
        </w:rPr>
        <w:t xml:space="preserve">ЛИСТ СОГЛАСОВАНИЯ</w:t>
      </w:r>
    </w:p>
    <w:tbl>
      <w:tblPr>
        <w:tblW w:w="0" w:type="auto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300"/>
        <w:gridCol w:w="2100"/>
        <w:gridCol w:w="1700"/>
        <w:gridCol w:w="1900"/>
      </w:tblGrid>
      <w:tr>
        <w:tc>
          <w:tcPr>
            <w:tcW w:w="3300" w:type="dxa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b/>
                <w:sz w:val="21"/>
                <w:szCs w:val="21"/>
              </w:rPr>
              <w:t xml:space="preserve">Организация, должность</w:t>
            </w:r>
          </w:p>
        </w:tc>
        <w:tc>
          <w:tcPr>
            <w:tcW w:w="2100" w:type="dxa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b/>
                <w:sz w:val="21"/>
                <w:szCs w:val="21"/>
              </w:rPr>
              <w:t xml:space="preserve">Ф.И.О.</w:t>
            </w:r>
          </w:p>
        </w:tc>
        <w:tc>
          <w:tcPr>
            <w:tcW w:w="1700" w:type="dxa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b/>
                <w:sz w:val="21"/>
                <w:szCs w:val="21"/>
              </w:rPr>
              <w:t xml:space="preserve">Подпись</w:t>
            </w:r>
          </w:p>
        </w:tc>
        <w:tc>
          <w:tcPr>
            <w:tcW w:w="1900" w:type="dxa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b/>
                <w:sz w:val="21"/>
                <w:szCs w:val="21"/>
              </w:rPr>
              <w:t xml:space="preserve">Дата</w:t>
            </w:r>
          </w:p>
        </w:tc>
      </w:tr>
      <w:tr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Заказчик (НИО заказчика) — [уточнить]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[уточнить]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__________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[уточнить]</w:t>
            </w:r>
          </w:p>
        </w:tc>
      </w:tr>
      <w:tr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Головной исполнитель ОКР — [уточнить]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[уточнить]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__________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[уточнить]</w:t>
            </w:r>
          </w:p>
        </w:tc>
      </w:tr>
      <w:tr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Исполнитель составной части ОКР — ООО «тушканчик»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[уточнить]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__________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[уточнить]</w:t>
            </w:r>
          </w:p>
        </w:tc>
      </w:tr>
      <w:tr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Другие согласующие организации (при наличии) — [уточнить]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[уточнить]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__________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[уточнить]</w:t>
            </w:r>
          </w:p>
        </w:tc>
      </w:tr>
    </w:tbl>
    <w:p>
      <w:pPr>
        <w:spacing w:before="0" w:after="40" w:line="276" w:lineRule="auto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160" w:after="100" w:line="276" w:lineRule="auto"/>
        <w:keepNext/>
      </w:pPr>
      <w:r>
        <w:rPr>
          <w:b/>
          <w:sz w:val="28"/>
          <w:szCs w:val="28"/>
        </w:rPr>
        <w:t xml:space="preserve">ПЕРЕЧЕНЬ ОБОЗНАЧЕНИЙ И СОКРАЩЕНИЙ</w:t>
      </w:r>
    </w:p>
    <w:tbl>
      <w:tblPr>
        <w:tblW w:w="0" w:type="auto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100"/>
        <w:gridCol w:w="6900"/>
      </w:tblGrid>
      <w:tr>
        <w:tc>
          <w:tcPr>
            <w:tcW w:w="2100" w:type="dxa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b/>
                <w:sz w:val="21"/>
                <w:szCs w:val="21"/>
              </w:rPr>
              <w:t xml:space="preserve">Обозначение</w:t>
            </w:r>
          </w:p>
        </w:tc>
        <w:tc>
          <w:tcPr>
            <w:tcW w:w="6900" w:type="dxa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b/>
                <w:sz w:val="21"/>
                <w:szCs w:val="21"/>
              </w:rPr>
              <w:t xml:space="preserve">Расшифровка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AMC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Advanced Mezzanine Card — мезонинная плата по PICMG AMC.0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B2B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Board-to-Board — межплатный интерфейс/соединение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Board ID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Идентификатор типа сменной субплаты, хранимый в EEPROM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MMC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Module Management Controller — контроллер управления модулем AMC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ПЛИС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Программируемая логическая интегральная схема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РМО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Рабочее место оператора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ОКР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Опытно-конструкторская работа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СЧ ОКР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Составная часть опытно-конструкторской работы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РКД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Рабочая конструкторская документация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ПМИ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Программа и методики испытаний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АСУ ТП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Автоматизированная система управления технологическим процессом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TDM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Time Division Multiplexing — временное разделение каналов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SDH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Synchronous Digital Hierarchy — синхронная цифровая иерархия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PDH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Plesiochronous Digital Hierarchy — плезиохронная цифровая иерархия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E1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Цифровой тракт со скоростью 2048 кбит/с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LIU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Line Interface Unit — устройство линейного интерфейса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EEPROM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Электрически стираемая перепрограммируемая постоянная память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SAToP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Structure-Agnostic TDM over Packet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CESoPSN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Circuit Emulation Service over Packet Switched Network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PDV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Packet Delay Variation — вариация задержки пакетов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ACR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Adaptive Clock Recovery — адаптивное восстановление тактовой частоты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AIS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Alarm Indication Signal — сигнал индикации аварии («все единицы»)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LOS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Loss of Signal — потеря сигнала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LOF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Loss of Frame — потеря кадровой синхронизации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RAI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Remote Alarm Indication — удалённая индикация аварии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CAS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Channel Associated Signaling — поканальная сигнализация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CCS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Common Channel Signaling — общеканальная сигнализация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PRBS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Pseudo-Random Binary Sequence — псевдослучайная двоичная последовательность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BER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Bit Error Ratio — коэффициент битовых ошибок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ES / SES / UAS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Errored Seconds / Severely Errored Seconds / Unavailable Seconds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MIB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Management Information Base — база управляющей информации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SNMP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Simple Network Management Protocol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ЭКБ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Электронная компонентная база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ОТК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Отдел технического контроля</w:t>
            </w:r>
          </w:p>
        </w:tc>
      </w:tr>
      <w:tr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ESD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Electrostatic Discharge — электростатический разряд</w:t>
            </w:r>
          </w:p>
        </w:tc>
      </w:tr>
    </w:tbl>
    <w:p>
      <w:pPr>
        <w:spacing w:before="0" w:after="40" w:line="276" w:lineRule="auto"/>
      </w:pPr>
      <w:r>
        <w:rPr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spacing w:before="160" w:after="100" w:line="276" w:lineRule="auto"/>
        <w:keepNext/>
      </w:pPr>
      <w:r>
        <w:rPr>
          <w:b/>
          <w:sz w:val="28"/>
          <w:szCs w:val="28"/>
        </w:rPr>
        <w:t xml:space="preserve">ПЕРЕЧЕНЬ ПРИМЕНИМЫХ НОРМАТИВНЫХ И СПРАВОЧНЫХ ДОКУМЕНТОВ</w:t>
      </w:r>
    </w:p>
    <w:tbl>
      <w:tblPr>
        <w:tblW w:w="0" w:type="auto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300"/>
        <w:gridCol w:w="6700"/>
      </w:tblGrid>
      <w:tr>
        <w:tc>
          <w:tcPr>
            <w:tcW w:w="2300" w:type="dxa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b/>
                <w:sz w:val="21"/>
                <w:szCs w:val="21"/>
              </w:rPr>
              <w:t xml:space="preserve">Обозначение</w:t>
            </w:r>
          </w:p>
        </w:tc>
        <w:tc>
          <w:tcPr>
            <w:tcW w:w="6700" w:type="dxa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b/>
                <w:sz w:val="21"/>
                <w:szCs w:val="21"/>
              </w:rPr>
              <w:t xml:space="preserve">Наименование / область применения в настоящем ТЗ</w:t>
            </w:r>
          </w:p>
        </w:tc>
      </w:tr>
      <w:t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ГОСТ 15.016-2016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Система разработки и постановки продукции на производство. Техническое задание. Требования к содержанию и оформлению</w:t>
            </w:r>
          </w:p>
        </w:tc>
      </w:tr>
      <w:t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ГОСТ 2.114-2016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Единая система конструкторской документации. Технические условия</w:t>
            </w:r>
          </w:p>
        </w:tc>
      </w:tr>
      <w:t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ГОСТ РВ 15.201-2003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Военная техника. Тактико-техническое (техническое) задание на выполнение ОКР</w:t>
            </w:r>
          </w:p>
        </w:tc>
      </w:tr>
      <w:t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ГОСТ РВ 20.39.304-98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Комплексная система общих технических требований. Требования стойкости к внешним воздействующим факторам</w:t>
            </w:r>
          </w:p>
        </w:tc>
      </w:tr>
      <w:t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ГОСТ В 25803-91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Средства вычислительной техники. Требования по радиопомехам</w:t>
            </w:r>
          </w:p>
        </w:tc>
      </w:tr>
      <w:t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ГОСТ 15150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Машины, приборы и другие технические изделия. Исполнения для различных климатических районов; условия эксплуатации, хранения и транспортирования</w:t>
            </w:r>
          </w:p>
        </w:tc>
      </w:tr>
      <w:t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ITU-T G.703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Физические и электрические характеристики интерфейса E1</w:t>
            </w:r>
          </w:p>
        </w:tc>
      </w:tr>
      <w:t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ITU-T G.704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Синхронные структуры циклов, применяемые в тракте E1</w:t>
            </w:r>
          </w:p>
        </w:tc>
      </w:tr>
      <w:t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ITU-T G.823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Нормы джиттера и вандера для цифровых сетей</w:t>
            </w:r>
          </w:p>
        </w:tc>
      </w:tr>
      <w:t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ITU-T G.826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Параметры и нормы ошибок цифровых трактов</w:t>
            </w:r>
          </w:p>
        </w:tc>
      </w:tr>
      <w:t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RFC 4553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Structure-Agnostic Time Division Multiplexing (TDM) over Packet (SAToP)</w:t>
            </w:r>
          </w:p>
        </w:tc>
      </w:tr>
      <w:t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RFC 5086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Structure-Aware TDM Circuit Emulation Service over Packet Switched Network (CESoPSN)</w:t>
            </w:r>
          </w:p>
        </w:tc>
      </w:tr>
      <w:t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PICMG AMC.0 R2.0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Спецификация Advanced Mezzanine Card</w:t>
            </w:r>
          </w:p>
        </w:tc>
      </w:tr>
    </w:tbl>
    <w:p>
      <w:pPr>
        <w:spacing w:before="0" w:after="40" w:line="276" w:lineRule="auto"/>
      </w:pPr>
      <w:r>
        <w:rPr>
          <w:sz w:val="24"/>
          <w:szCs w:val="24"/>
        </w:rPr>
        <w:t xml:space="preserve"/>
      </w:r>
    </w:p>
    <w:p>
      <w:pPr>
        <w:spacing w:before="0" w:after="80" w:line="276" w:lineRule="auto"/>
      </w:pPr>
      <w:r>
        <w:rPr>
          <w:i/>
          <w:sz w:val="21"/>
          <w:szCs w:val="21"/>
        </w:rPr>
        <w:t xml:space="preserve">Примечание — Год издания документов, для которых он не указан в исходных данных, и применимость конкретных редакций подлежат уточнению. Настоящее ТЗ не устанавливает редакцию таких документов без исходных данных.</w:t>
      </w:r>
    </w:p>
    <w:p>
      <w:r>
        <w:br w:type="page"/>
      </w:r>
    </w:p>
    <w:p>
      <w:pPr>
        <w:pStyle w:val="Heading1"/>
        <w:spacing w:before="160" w:after="100" w:line="276" w:lineRule="auto"/>
        <w:keepNext/>
      </w:pPr>
      <w:r>
        <w:rPr>
          <w:b/>
          <w:sz w:val="28"/>
          <w:szCs w:val="28"/>
        </w:rPr>
        <w:t xml:space="preserve">1 Наименование, шифр ОКР, основание, исполнитель и сроки выполнения ОКР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1.1 Наименование СЧ ОКР: «Разработка сменной интерфейсной субплаты 8×E1 и функционального модуля E1 для универсального базового модуля AMC семейства ДММП». Шифр ОКР — «Развитие-ТСА».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1.2 Основание для выполнения работы — приказ об открытии инициативной ОКР № [уточнить] от [уточнить].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1.3 Исполнитель СЧ ОКР — ООО «тушканчик» (условное наименование из исходных данных). Головной исполнитель ОКР — [уточнить]. Заказчик (НИО заказчика) — [уточнить].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1.4 Сроки выполнения СЧ ОКР должны быть связаны с утверждённым планом-графиком разработки РКД и программной документации, изготовления образцов и проведения испытаний. Календарные сроки и реквизиты плана-графика — [уточнить].</w:t>
      </w:r>
    </w:p>
    <w:p>
      <w:pPr>
        <w:pStyle w:val="Heading1"/>
        <w:spacing w:before="160" w:after="100" w:line="276" w:lineRule="auto"/>
        <w:keepNext/>
      </w:pPr>
      <w:r>
        <w:rPr>
          <w:b/>
          <w:sz w:val="28"/>
          <w:szCs w:val="28"/>
        </w:rPr>
        <w:t xml:space="preserve">2 Цель выполнения, наименование, назначение и область применения изделия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2.1 Цель выполнения СЧ ОКР — разработка сменной интерфейсной субплаты 8×E1 и функционального модуля E1 для подключения восьми независимых линий E1 к платформе ДММП с передачей TDM через Ethernet, компенсацией сетевого джиттера и восстановлением частоты.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2.2 Изделие предназначено для применения в системах TDM/SDH/PDH, телефонных станциях, системах диспетчеризации и АСУ ТП энергетических и промышленных предприятий.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2.3 Аппаратная часть изделия должна включать сменную субплату с линейными интерфейсами, средствами защиты, трансиверами и EEPROM Board ID. Логическая часть должна представлять собой функциональный модуль ПЛИС базовой платы, автоматически активируемый по Board ID.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2.4 AMC с установленной сменной интерфейсной субплатой должен устанавливаться на Carrier платформы ДММП.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2.5 Обозначение изделия и числовое значение Board ID — [уточнить].</w:t>
      </w:r>
    </w:p>
    <w:p>
      <w:pPr>
        <w:pStyle w:val="Heading1"/>
        <w:spacing w:before="160" w:after="100" w:line="276" w:lineRule="auto"/>
        <w:keepNext/>
      </w:pPr>
      <w:r>
        <w:rPr>
          <w:b/>
          <w:sz w:val="28"/>
          <w:szCs w:val="28"/>
        </w:rPr>
        <w:t xml:space="preserve">3 Технические требования к изделию</w:t>
      </w:r>
    </w:p>
    <w:p>
      <w:pPr>
        <w:pStyle w:val="Heading2"/>
        <w:spacing w:before="100" w:after="100" w:line="276" w:lineRule="auto"/>
        <w:keepNext/>
      </w:pPr>
      <w:r>
        <w:rPr>
          <w:b/>
          <w:sz w:val="25"/>
          <w:szCs w:val="25"/>
        </w:rPr>
        <w:t xml:space="preserve">3.1 Архитектура и линии E1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3.1.1 Субплата должна содержать восемь экранированных разъёмов RJ-48C (8P8C), средства защиты, импульсные трансформаторы, восьмиканальный LIU, EEPROM Board ID и средства индикации портов.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3.1.2 Числовое значение Board ID — [уточнить]. Базовая плата через B2B должна предоставлять субплате напряжения питания +12 В и +3,3 В, функции MMC и тактирования, а также выбирать из Flash bitstream E1 по Board ID.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3.1.3 Каждый из восьми портов должен обеспечивать симметричный двухпарный интерфейс 120 Ом со скоростью 2048 кбит/с (2,048 Мбит/с) и отклонением частоты ±50 ppm, линейное кодирование HDB3 или AMI и соответствие маски импульса ITU-T G.703.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3.1.4 Трансформаторная изоляция каждого порта должна выдерживать не менее 1500 В RMS при частоте 50 Гц в течение 1 мин. Должна быть предусмотрена супрессорная защита от перенапряжений и ESD.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3.1.5 Короткое замыкание, обрыв или перепутывание пар одного порта не должны влиять на другие порты и модуль.</w:t>
      </w:r>
    </w:p>
    <w:p>
      <w:pPr>
        <w:pStyle w:val="Heading2"/>
        <w:spacing w:before="100" w:after="100" w:line="276" w:lineRule="auto"/>
        <w:keepNext/>
      </w:pPr>
      <w:r>
        <w:rPr>
          <w:b/>
          <w:sz w:val="25"/>
          <w:szCs w:val="25"/>
        </w:rPr>
        <w:t xml:space="preserve">3.2 Обработка, тактирование и аварии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3.2.1 Для каждого порта независимо должны поддерживаться оба профиля: а) SAToP по RFC 4553 — полный неструктурированный поток с настраиваемой полезной нагрузкой и минимальной аппаратной задержкой; б) CESoPSN по RFC 5086 — N×64 кбит/с, TS1–TS31, ITU-T G.704, CRC-4, CAS (TS16) и CCS.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3.2.2 Передача должна выполняться через Fabric 10GbE с Strict Priority QoS, без потерь и с минимальной задержкой коммутации.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3.2.3 Для каждого канала должен быть предусмотрен джиттер-буфер с диапазоном настройки от 1 до 64 мс для компенсации PDV.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3.2.4 При потере пакетов или аварии сети изделие должно выдавать AIS («все единицы») с сохранением тактирования.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3.2.5 Должны поддерживаться режимы тактирования передатчика: системный TCLK, ACR от пакетной сети, Free-run/Holdover и Loop timing.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3.2.6 Восстановленный сигнал частотой 2,048 МГц любого выбранного входного порта должен передаваться через B2B как кандидат синхронизации шасси. Джиттер и вандер должны соответствовать ITU-T G.823.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3.2.7 Изделие должно непрерывно контролировать LOS, LOF в кадровом режиме, AIS, RAI, CRC-4, нарушения HDB3 и Frame slips, а также вести статистику ITU-T G.826: ES, SES и UAS.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3.2.8 Для каждого порта должны поддерживаться Local Line Loopback, Payload Loopback и Packet Loopback, а также встроенные генератор и анализатор PRBS 2¹⁵−1 и 2²³−1 для BER-тестов.</w:t>
      </w:r>
    </w:p>
    <w:p>
      <w:pPr>
        <w:pStyle w:val="Heading2"/>
        <w:spacing w:before="100" w:after="100" w:line="276" w:lineRule="auto"/>
        <w:keepNext/>
      </w:pPr>
      <w:r>
        <w:rPr>
          <w:b/>
          <w:sz w:val="25"/>
          <w:szCs w:val="25"/>
        </w:rPr>
        <w:t xml:space="preserve">3.3 Конструкция и эксплуатация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3.3.1 Субплата должна крепиться к общему лонжерону-теплоотводу и лицевой панели. Размещение разъёмов должно обеспечивать доступ к защёлкам, обзор светодиодов и вентиляцию.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3.3.2 При всех активных портах потребляемая мощность субплаты должна быть не более 12 Вт, а сборки — не более 35 Вт.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3.3.3 Конструкция должна соответствовать форм-фактору Single Full-size AMC.0 и иметь габариты 73,5 × 180,6 × 28,95 мм. Межплатное крепление должно выполняться на 4–6 металлических стойках М2,5.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3.3.4 Изделие должно соответствовать ГОСТ РВ 20.39.304-98 для групп 1.1, 1.3 и 1.4.1, исполнения «О»; рабочая температура должна составлять от −10 до +50 °C, предельная температура — от −40 до +65 °C, стойкость к синусоидальной вибрации — 5g, к ударам — 15g.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3.3.5 Требования по радиопомехам должны соответствовать группе 1.1.1 ГОСТ В 25803-91.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3.3.6 Средняя наработка на отказ (MTBF) должна быть не менее 15 000 ч. Назначенный срок службы должен быть не менее 20 лет.</w:t>
      </w:r>
    </w:p>
    <w:p>
      <w:pPr>
        <w:pStyle w:val="Heading2"/>
        <w:spacing w:before="100" w:after="100" w:line="276" w:lineRule="auto"/>
        <w:keepNext/>
      </w:pPr>
      <w:r>
        <w:rPr>
          <w:b/>
          <w:sz w:val="25"/>
          <w:szCs w:val="25"/>
        </w:rPr>
        <w:t xml:space="preserve">3.4 Проверка технических требований</w:t>
      </w:r>
    </w:p>
    <w:tbl>
      <w:tblPr>
        <w:tblW w:w="0" w:type="auto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500"/>
        <w:gridCol w:w="2500"/>
        <w:gridCol w:w="2500"/>
        <w:gridCol w:w="2500"/>
      </w:tblGrid>
      <w:tr>
        <w:tc>
          <w:tcPr>
            <w:tcW w:w="1500" w:type="dxa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b/>
                <w:sz w:val="21"/>
                <w:szCs w:val="21"/>
              </w:rPr>
              <w:t xml:space="preserve">Требования</w:t>
            </w:r>
          </w:p>
        </w:tc>
        <w:tc>
          <w:tcPr>
            <w:tcW w:w="2500" w:type="dxa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b/>
                <w:sz w:val="21"/>
                <w:szCs w:val="21"/>
              </w:rPr>
              <w:t xml:space="preserve">Метод и условие</w:t>
            </w:r>
          </w:p>
        </w:tc>
        <w:tc>
          <w:tcPr>
            <w:tcW w:w="2500" w:type="dxa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b/>
                <w:sz w:val="21"/>
                <w:szCs w:val="21"/>
              </w:rPr>
              <w:t xml:space="preserve">Действие</w:t>
            </w:r>
          </w:p>
        </w:tc>
        <w:tc>
          <w:tcPr>
            <w:tcW w:w="2500" w:type="dxa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b/>
                <w:sz w:val="21"/>
                <w:szCs w:val="21"/>
              </w:rPr>
              <w:t xml:space="preserve">Наблюдаемый результат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3.1.1–3.1.2, 3.3.1, 3.3.3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Осмотр изделия и анализ РКД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Проверить состав, соединение B2B, крепление, доступность элементов, габариты и стойки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Соответствие указанному составу, границам ответственности, размерам и количеству стоек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3.1.3–3.1.4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Измерение на каждом порту в заданных режимах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Измерить сопротивление интерфейса, скорость и отклонение частоты, маску импульса и электрическую прочность изоляции; проверить HDB3 и AMI и защиту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Получены значения и режимы, установленные 3.1.3–3.1.4; методика и допускаемая погрешность измерений — [уточнить в ПМИ]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3.1.5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Испытание каждого порта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Последовательно создать КЗ, обрыв и перепутывание пар одного порта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Другие порты и модуль продолжают функционировать; критерии штатного функционирования — по проверяемым требованиям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3.2.1–3.2.3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Функциональное испытание каждого порта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Передать TDM в профилях SAToP и CESoPSN, проверить перечисленные режимы и изменить джиттер-буфер во всём диапазоне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Оба профиля и все перечисленные функции доступны независимо для каждого порта; настройка 1–64 мс выполняется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3.2.2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Испытание через Fabric 10GbE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Передать поток с Strict Priority QoS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Потери отсутствуют; задержка коммутации минимальна. Количественный критерий «минимальной» задержки — [уточнить в ПМИ]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3.2.4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Испытание аварийного режима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Инициировать потерю пакетов и аварию сети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На выходе формируется AIS («все единицы»), тактирование сохраняется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3.2.5–3.2.6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Функциональное испытание и измерение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Последовательно включить все режимы передатчика; выбрать каждый входной порт как источник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Все режимы доступны; через B2B передаётся восстановленный сигнал 2,048 МГц выбранного порта; джиттер/вандер соответствуют ITU-T G.823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3.2.7–3.2.8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Функциональное испытание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Создать контролируемые аварии/ошибки, включить петли и PRBS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Регистрируются все перечисленные события и показатели; работают три вида петель и обе последовательности PRBS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3.3.2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Измерение при всех активных портах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Измерить мощность субплаты и сборки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Не более 12 Вт и не более 35 Вт соответственно; погрешность измерения — [уточнить в ПМИ]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3.3.4–3.3.5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Испытания по указанным нормативным документам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Воздействовать заданными температурой, вибрацией, ударами и проверить радиопомехи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Соответствие значениям и группам по 3.3.4–3.3.5; режимы, длительности и методики — по применимым документам и [уточнить в ПМИ]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3.3.6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Расчёт/анализ и испытания согласно ПМИ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Подтвердить показатели надёжности и срока службы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MTBF не менее 15 000 ч; назначенный срок службы не менее 20 лет. Метод подтверждения — [уточнить в ПМИ]</w:t>
            </w:r>
          </w:p>
        </w:tc>
      </w:tr>
    </w:tbl>
    <w:p>
      <w:pPr>
        <w:spacing w:before="0" w:after="40" w:line="276" w:lineRule="auto"/>
      </w:pPr>
      <w:r>
        <w:rPr>
          <w:sz w:val="24"/>
          <w:szCs w:val="24"/>
        </w:rPr>
        <w:t xml:space="preserve"/>
      </w:r>
    </w:p>
    <w:p>
      <w:pPr>
        <w:pStyle w:val="Heading1"/>
        <w:spacing w:before="160" w:after="100" w:line="276" w:lineRule="auto"/>
        <w:keepNext/>
      </w:pPr>
      <w:r>
        <w:rPr>
          <w:b/>
          <w:sz w:val="28"/>
          <w:szCs w:val="28"/>
        </w:rPr>
        <w:t xml:space="preserve">4 Технико-экономические требования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4.1 Технико-экономические требования не предъявляются.</w:t>
      </w:r>
    </w:p>
    <w:p>
      <w:pPr>
        <w:pStyle w:val="Heading1"/>
        <w:spacing w:before="160" w:after="100" w:line="276" w:lineRule="auto"/>
        <w:keepNext/>
      </w:pPr>
      <w:r>
        <w:rPr>
          <w:b/>
          <w:sz w:val="28"/>
          <w:szCs w:val="28"/>
        </w:rPr>
        <w:t xml:space="preserve">5 Требования к видам обеспечения</w:t>
      </w:r>
    </w:p>
    <w:p>
      <w:pPr>
        <w:pStyle w:val="Heading2"/>
        <w:spacing w:before="100" w:after="100" w:line="276" w:lineRule="auto"/>
        <w:keepNext/>
      </w:pPr>
      <w:r>
        <w:rPr>
          <w:b/>
          <w:sz w:val="25"/>
          <w:szCs w:val="25"/>
        </w:rPr>
        <w:t xml:space="preserve">5.1 Требования к нормативно-техническому обеспечению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5.1.1 При разработке изделия должны применяться нормативные и справочные документы, перечисленные в настоящем ТЗ.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5.1.2 РКД, программная документация и ПМИ должны учитывать применимые требования перечисленных документов в пределах предмета настоящего ТЗ.</w:t>
      </w:r>
    </w:p>
    <w:p>
      <w:pPr>
        <w:pStyle w:val="Heading2"/>
        <w:spacing w:before="100" w:after="100" w:line="276" w:lineRule="auto"/>
        <w:keepNext/>
      </w:pPr>
      <w:r>
        <w:rPr>
          <w:b/>
          <w:sz w:val="25"/>
          <w:szCs w:val="25"/>
        </w:rPr>
        <w:t xml:space="preserve">5.2 Требования к метрологическому обеспечению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5.2.1 Должны быть предусмотрены средства и методики измерения маски импульса E1, джиттера и вандера, BER и задержки пакетизации.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5.2.2 Допуски, погрешности, состав средств измерений и детальные методики, не заданные исходными данными, — [уточнить в ПМИ]; дополнительные числовые нормы настоящим ТЗ не устанавливаются.</w:t>
      </w:r>
    </w:p>
    <w:p>
      <w:pPr>
        <w:pStyle w:val="Heading2"/>
        <w:spacing w:before="100" w:after="100" w:line="276" w:lineRule="auto"/>
        <w:keepNext/>
      </w:pPr>
      <w:r>
        <w:rPr>
          <w:b/>
          <w:sz w:val="25"/>
          <w:szCs w:val="25"/>
        </w:rPr>
        <w:t xml:space="preserve">5.3 Требования к диагностическому обеспечению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5.3.1 Диагностическое обеспечение должно регистрировать LOS, LOF, AIS, RAI и счётчики ошибок, а также формировать сообщения и отчёты для РМО.</w:t>
      </w:r>
    </w:p>
    <w:p>
      <w:pPr>
        <w:pStyle w:val="Heading2"/>
        <w:spacing w:before="100" w:after="100" w:line="276" w:lineRule="auto"/>
        <w:keepNext/>
      </w:pPr>
      <w:r>
        <w:rPr>
          <w:b/>
          <w:sz w:val="25"/>
          <w:szCs w:val="25"/>
        </w:rPr>
        <w:t xml:space="preserve">5.4 Требования к программному обеспечению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5.4.1 Программное обеспечение должно включать bitstream функционального модуля E1 для Flash базовой платы, драйверы Linux и MIB для РМО/SNMP.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5.4.2 Функциональный модуль ПЛИС должен автоматически активироваться по Board ID в соответствии с 2.3 и 3.1.2.</w:t>
      </w:r>
    </w:p>
    <w:p>
      <w:pPr>
        <w:pStyle w:val="Heading2"/>
        <w:spacing w:before="100" w:after="100" w:line="276" w:lineRule="auto"/>
        <w:keepNext/>
      </w:pPr>
      <w:r>
        <w:rPr>
          <w:b/>
          <w:sz w:val="25"/>
          <w:szCs w:val="25"/>
        </w:rPr>
        <w:t xml:space="preserve">5.5 Проверка требований к видам обеспечения</w:t>
      </w:r>
    </w:p>
    <w:tbl>
      <w:tblPr>
        <w:tblW w:w="0" w:type="auto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500"/>
        <w:gridCol w:w="2500"/>
        <w:gridCol w:w="2500"/>
        <w:gridCol w:w="2500"/>
      </w:tblGrid>
      <w:tr>
        <w:tc>
          <w:tcPr>
            <w:tcW w:w="1500" w:type="dxa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b/>
                <w:sz w:val="21"/>
                <w:szCs w:val="21"/>
              </w:rPr>
              <w:t xml:space="preserve">Требования</w:t>
            </w:r>
          </w:p>
        </w:tc>
        <w:tc>
          <w:tcPr>
            <w:tcW w:w="2500" w:type="dxa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b/>
                <w:sz w:val="21"/>
                <w:szCs w:val="21"/>
              </w:rPr>
              <w:t xml:space="preserve">Метод и условие</w:t>
            </w:r>
          </w:p>
        </w:tc>
        <w:tc>
          <w:tcPr>
            <w:tcW w:w="2500" w:type="dxa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b/>
                <w:sz w:val="21"/>
                <w:szCs w:val="21"/>
              </w:rPr>
              <w:t xml:space="preserve">Действие</w:t>
            </w:r>
          </w:p>
        </w:tc>
        <w:tc>
          <w:tcPr>
            <w:tcW w:w="2500" w:type="dxa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b/>
                <w:sz w:val="21"/>
                <w:szCs w:val="21"/>
              </w:rPr>
              <w:t xml:space="preserve">Наблюдаемый результат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5.1.1–5.1.2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Анализ документации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Проверить ссылки и учёт применимых документов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Перечень соответствует настоящему ТЗ; неподтверждённые редакции не представлены как заданные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5.2.1–5.2.2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Осмотр и анализ средств и методик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Проверить возможность измерения четырёх заданных групп параметров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Предусмотрены средства и методики для маски E1, джиттера/вандера, BER и задержки пакетизации; незаданные данные отмечены для уточнения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5.3.1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Функциональное испытание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Сформировать перечисленные аварии и ошибки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События и счётчики регистрируются, сообщения и отчёты доступны РМО</w:t>
            </w:r>
          </w:p>
        </w:tc>
      </w:tr>
      <w:t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5.4.1–5.4.2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Функциональное испытание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Установить субплату, считать Board ID и проверить загрузку; проверить Linux и SNMP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Выбран bitstream E1; драйверы Linux и MIB обеспечивают заданные функции</w:t>
            </w:r>
          </w:p>
        </w:tc>
      </w:tr>
    </w:tbl>
    <w:p>
      <w:pPr>
        <w:spacing w:before="0" w:after="40" w:line="276" w:lineRule="auto"/>
      </w:pPr>
      <w:r>
        <w:rPr>
          <w:sz w:val="24"/>
          <w:szCs w:val="24"/>
        </w:rPr>
        <w:t xml:space="preserve"/>
      </w:r>
    </w:p>
    <w:p>
      <w:pPr>
        <w:pStyle w:val="Heading1"/>
        <w:spacing w:before="160" w:after="100" w:line="276" w:lineRule="auto"/>
        <w:keepNext/>
      </w:pPr>
      <w:r>
        <w:rPr>
          <w:b/>
          <w:sz w:val="28"/>
          <w:szCs w:val="28"/>
        </w:rPr>
        <w:t xml:space="preserve">6 Требования к сырью, материалам и комплектующим изделиям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6.1 При выборе материалов и комплектующих изделий должен отдаваться приоритет отечественным материалам и комплектующим с приёмкой ОТК.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6.2 При отсутствии отечественных аналогов допускается применение импортной ЭКБ промышленного температурного диапазона.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6.3 Проверка требований 6.1–6.2 должна выполняться анализом РКД, перечней элементов, документов о происхождении, температурном диапазоне и приёмке: применённые позиции должны соответствовать приоритету 6.1, а импортные позиции — условию 6.2. Перечень допустимых подтверждающих документов — [уточнить].</w:t>
      </w:r>
    </w:p>
    <w:p>
      <w:pPr>
        <w:pStyle w:val="Heading1"/>
        <w:spacing w:before="160" w:after="100" w:line="276" w:lineRule="auto"/>
        <w:keepNext/>
      </w:pPr>
      <w:r>
        <w:rPr>
          <w:b/>
          <w:sz w:val="28"/>
          <w:szCs w:val="28"/>
        </w:rPr>
        <w:t xml:space="preserve">7 Требования к консервации, упаковке и маркировке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7.1 На изделие должны быть нанесены децимальный номер, серийный номер и ревизия. Порты должны иметь маркировку E1-1…E1-8.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7.2 Каждое изделие должно поставляться в индивидуальной таре с ESD-защитой.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7.3 Срок хранения изделия в заводской таре должен быть не менее 1 года по ГОСТ 15150.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7.4 Дополнительные условия консервации исходными данными не установлены — [уточнить при необходимости].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7.5 Проверка требований 7.1–7.3 должна выполняться осмотром маркировки и упаковки и подтверждением хранения в заданных условиях: должны присутствовать все обозначения и ESD-защита, а срок хранения в заводской таре должен быть не менее 1 года по ГОСТ 15150. Категория условий хранения и метод подтверждения срока — [уточнить в ПМИ].</w:t>
      </w:r>
    </w:p>
    <w:p>
      <w:pPr>
        <w:pStyle w:val="Heading1"/>
        <w:spacing w:before="160" w:after="100" w:line="276" w:lineRule="auto"/>
        <w:keepNext/>
      </w:pPr>
      <w:r>
        <w:rPr>
          <w:b/>
          <w:sz w:val="28"/>
          <w:szCs w:val="28"/>
        </w:rPr>
        <w:t xml:space="preserve">8 Специальные требования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8.1 Телеметрия РМО, реализуемая на C++/Qt, должна отображать мнемосхему восьми портов, состояния LOS, LOF, AIS и RAI, счётчики ITU-T G.826, активный профиль SAToP/CESoPSN и источник тактирования.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8.2 РМО должно обеспечивать команды включения и отключения портов, изменения значения джиттер-буфера, управления диагностическими петлями и PRBS.</w:t>
      </w:r>
    </w:p>
    <w:p>
      <w:pPr>
        <w:spacing w:before="0" w:after="80" w:line="276" w:lineRule="auto"/>
      </w:pPr>
      <w:r>
        <w:rPr>
          <w:sz w:val="24"/>
          <w:szCs w:val="24"/>
        </w:rPr>
        <w:t xml:space="preserve">8.3 Проверка требований 8.1–8.2 должна выполняться функциональным испытанием РМО: при работе восьми портов и формировании соответствующих состояний проверить отображение всех перечисленных данных, затем передать каждую команду и наблюдать соответствующее изменение режима или параметра. Формат сообщений, отчётов и протокол взаимодействия РМО — [уточнить].</w:t>
      </w:r>
    </w:p>
    <w:p>
      <w:r>
        <w:br w:type="page"/>
      </w:r>
    </w:p>
    <w:p>
      <w:pPr>
        <w:spacing w:before="0" w:after="180" w:line="276" w:lineRule="auto"/>
      </w:pPr>
      <w:r>
        <w:rPr>
          <w:b/>
          <w:sz w:val="25"/>
          <w:szCs w:val="25"/>
        </w:rPr>
        <w:t xml:space="preserve">РАЗРАБОТАНО</w:t>
      </w:r>
    </w:p>
    <w:tbl>
      <w:tblPr>
        <w:tblW w:w="0" w:type="auto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300"/>
        <w:gridCol w:w="2100"/>
        <w:gridCol w:w="1700"/>
        <w:gridCol w:w="1900"/>
      </w:tblGrid>
      <w:tr>
        <w:tc>
          <w:tcPr>
            <w:tcW w:w="3300" w:type="dxa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b/>
                <w:sz w:val="21"/>
                <w:szCs w:val="21"/>
              </w:rPr>
              <w:t xml:space="preserve">Должность, организация</w:t>
            </w:r>
          </w:p>
        </w:tc>
        <w:tc>
          <w:tcPr>
            <w:tcW w:w="2100" w:type="dxa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b/>
                <w:sz w:val="21"/>
                <w:szCs w:val="21"/>
              </w:rPr>
              <w:t xml:space="preserve">Ф.И.О.</w:t>
            </w:r>
          </w:p>
        </w:tc>
        <w:tc>
          <w:tcPr>
            <w:tcW w:w="1700" w:type="dxa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b/>
                <w:sz w:val="21"/>
                <w:szCs w:val="21"/>
              </w:rPr>
              <w:t xml:space="preserve">Подпись</w:t>
            </w:r>
          </w:p>
        </w:tc>
        <w:tc>
          <w:tcPr>
            <w:tcW w:w="1900" w:type="dxa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b/>
                <w:sz w:val="21"/>
                <w:szCs w:val="21"/>
              </w:rPr>
              <w:t xml:space="preserve">Дата</w:t>
            </w:r>
          </w:p>
        </w:tc>
      </w:tr>
      <w:tr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Разработчик ТЗ, ООО «тушканчик»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[уточнить]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__________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[уточнить]</w:t>
            </w:r>
          </w:p>
        </w:tc>
      </w:tr>
    </w:tbl>
    <w:p>
      <w:pPr>
        <w:spacing w:before="0" w:after="40" w:line="276" w:lineRule="auto"/>
      </w:pPr>
      <w:r>
        <w:rPr>
          <w:sz w:val="24"/>
          <w:szCs w:val="24"/>
        </w:rPr>
        <w:t xml:space="preserve"/>
      </w:r>
    </w:p>
    <w:p>
      <w:pPr>
        <w:spacing w:before="240" w:after="180" w:line="276" w:lineRule="auto"/>
      </w:pPr>
      <w:r>
        <w:rPr>
          <w:b/>
          <w:sz w:val="25"/>
          <w:szCs w:val="25"/>
        </w:rPr>
        <w:t xml:space="preserve">СОГЛАСОВАНО</w:t>
      </w:r>
    </w:p>
    <w:tbl>
      <w:tblPr>
        <w:tblW w:w="0" w:type="auto"/>
        <w:tblLayout w:type="fixed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300"/>
        <w:gridCol w:w="2100"/>
        <w:gridCol w:w="1700"/>
        <w:gridCol w:w="1900"/>
      </w:tblGrid>
      <w:tr>
        <w:tc>
          <w:tcPr>
            <w:tcW w:w="3300" w:type="dxa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b/>
                <w:sz w:val="21"/>
                <w:szCs w:val="21"/>
              </w:rPr>
              <w:t xml:space="preserve">Организация, должность</w:t>
            </w:r>
          </w:p>
        </w:tc>
        <w:tc>
          <w:tcPr>
            <w:tcW w:w="2100" w:type="dxa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b/>
                <w:sz w:val="21"/>
                <w:szCs w:val="21"/>
              </w:rPr>
              <w:t xml:space="preserve">Ф.И.О.</w:t>
            </w:r>
          </w:p>
        </w:tc>
        <w:tc>
          <w:tcPr>
            <w:tcW w:w="1700" w:type="dxa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b/>
                <w:sz w:val="21"/>
                <w:szCs w:val="21"/>
              </w:rPr>
              <w:t xml:space="preserve">Подпись</w:t>
            </w:r>
          </w:p>
        </w:tc>
        <w:tc>
          <w:tcPr>
            <w:tcW w:w="1900" w:type="dxa"/>
            <w:shd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b/>
                <w:sz w:val="21"/>
                <w:szCs w:val="21"/>
              </w:rPr>
              <w:t xml:space="preserve">Дата</w:t>
            </w:r>
          </w:p>
        </w:tc>
      </w:tr>
      <w:tr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Заказчик (НИО заказчика) — [уточнить]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[уточнить]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__________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[уточнить]</w:t>
            </w:r>
          </w:p>
        </w:tc>
      </w:tr>
      <w:tr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Головной исполнитель ОКР — [уточнить]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[уточнить]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__________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[уточнить]</w:t>
            </w:r>
          </w:p>
        </w:tc>
      </w:tr>
      <w:tr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Другие организации (при наличии) — [уточнить]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[уточнить]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__________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left"/>
              <w:spacing w:before="0" w:after="0" w:line="276" w:lineRule="auto"/>
            </w:pPr>
            <w:r>
              <w:rPr>
                <w:sz w:val="21"/>
                <w:szCs w:val="21"/>
              </w:rPr>
              <w:t xml:space="preserve">[уточнить]</w:t>
            </w:r>
          </w:p>
        </w:tc>
      </w:tr>
    </w:tbl>
    <w:p>
      <w:pPr>
        <w:spacing w:before="0" w:after="40" w:line="276" w:lineRule="auto"/>
      </w:pPr>
      <w:r>
        <w:rPr>
          <w:sz w:val="24"/>
          <w:szCs w:val="24"/>
        </w:rPr>
        <w:t xml:space="preserve"/>
      </w:r>
    </w:p>
    <w:sectPr>
      <w:headerReference w:type="default" r:id="rId2"/>
      <w:pgSz w:w="11906" w:h="16838"/>
      <w:pgMar w:top="1134" w:right="1134" w:bottom="1134" w:left="1701" w:header="500" w:footer="500" w:gutter="0"/>
      <w:cols w:space="708"/>
      <w:docGrid w:linePitch="360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>PAGE</w:instrText>
    </w:r>
    <w:r>
      <w:fldChar w:fldCharType="end"/>
    </w:r>
  </w:p>
</w:hdr>
</file>

<file path=word/settings.xml><?xml version="1.0" encoding="utf-8"?>
<w:settings xmlns:w="http://schemas.openxmlformats.org/wordprocessingml/2006/main">
  <w:updateFields w:val="true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lang w:val="ru-RU"/>
        <w:sz w:val="24"/>
      </w:rPr>
    </w:r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next w:val="Normal"/>
    <w:qFormat/>
    <w:pPr>
      <w:keepNext/>
      <w:spacing w:before="240" w:after="12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spacing w:before="160" w:after="100"/>
    </w:pPr>
    <w:rPr>
      <w:b/>
      <w:sz w:val="2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settings" Target="settings.xml"/></Relationships>
</file>