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СОГЛАСОВАНО
Заказчик (НИО заказчика)
Должность: [уточнить]
__________ [уточнить]
«___» __________ 20__ г.</w:t>
            </w:r>
          </w:p>
        </w:tc>
        <w:tc>
          <w:tcPr>
            <w:tcW w:w="30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СОГЛАСОВАНО
Исполнитель составной части ОКР
ООО «тушканчик»
Должность: [уточнить]
__________ [уточнить]
«___» __________ 20__ г.</w:t>
            </w:r>
          </w:p>
        </w:tc>
        <w:tc>
          <w:tcPr>
            <w:tcW w:w="30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УТВЕРЖДАЮ
Головной исполнитель ОКР
Должность: [уточнить]
__________ [уточнить]
«___» __________ 20__ г.</w:t>
            </w:r>
          </w:p>
        </w:tc>
      </w:tr>
    </w:tbl>
    <w:p>
      <w:pPr>
        <w:jc w:val="center"/>
      </w:pPr>
      <w:r>
        <w:rPr>
          <w:rFonts w:ascii="Times New Roman" w:hAnsi="Times New Roman" w:cs="Times New Roman"/>
        </w:rPr>
        <w:t xml:space="preserve">ТЕХНИЧЕСКОЕ ЗАДАНИЕ</w:t>
      </w:r>
    </w:p>
    <w:p>
      <w:pPr>
        <w:jc w:val="center"/>
      </w:pPr>
      <w:r>
        <w:rPr>
          <w:rFonts w:ascii="Times New Roman" w:hAnsi="Times New Roman" w:cs="Times New Roman"/>
        </w:rPr>
        <w:t xml:space="preserve">НА СОСТАВНУЮ ЧАСТЬ ОПЫТНО-КОНСТРУКТОРСКОЙ РАБОТЫ</w:t>
      </w:r>
    </w:p>
    <w:p>
      <w:pPr/>
      <w:r>
        <w:rPr>
          <w:rFonts w:ascii="Times New Roman" w:hAnsi="Times New Roman" w:cs="Times New Roman"/>
        </w:rPr>
        <w:t xml:space="preserve">Разработка сменной интерфейсной субплаты 8×E1</w:t>
      </w:r>
      <w:r>
        <w:br/>
      </w:r>
      <w:r>
        <w:rPr>
          <w:rFonts w:ascii="Times New Roman" w:hAnsi="Times New Roman" w:cs="Times New Roman"/>
        </w:rPr>
        <w:t xml:space="preserve">и функционального модуля E1 для универсального базового модуля AMC семейства ДММП</w:t>
      </w:r>
    </w:p>
    <w:p>
      <w:pPr>
        <w:jc w:val="center"/>
      </w:pPr>
      <w:r>
        <w:rPr>
          <w:rFonts w:ascii="Times New Roman" w:hAnsi="Times New Roman" w:cs="Times New Roman"/>
        </w:rPr>
        <w:t xml:space="preserve">Шифр ОКР «Развитие-ТСА»</w:t>
      </w:r>
    </w:p>
    <w:p>
      <w:pPr>
        <w:jc w:val="center"/>
      </w:pPr>
      <w:r>
        <w:rPr>
          <w:rFonts w:ascii="Times New Roman" w:hAnsi="Times New Roman" w:cs="Times New Roman"/>
        </w:rPr>
        <w:t xml:space="preserve">Обозначение составной части изделия: [уточнить]</w:t>
      </w:r>
    </w:p>
    <w:p>
      <w:pPr>
        <w:jc w:val="center"/>
      </w:pPr>
      <w:r>
        <w:rPr>
          <w:rFonts w:ascii="Times New Roman" w:hAnsi="Times New Roman" w:cs="Times New Roman"/>
        </w:rPr>
        <w:t xml:space="preserve">[место составления — уточнить]</w:t>
      </w:r>
    </w:p>
    <w:p>
      <w:pPr>
        <w:jc w:val="center"/>
      </w:pPr>
      <w:r>
        <w:rPr>
          <w:rFonts w:ascii="Times New Roman" w:hAnsi="Times New Roman" w:cs="Times New Roman"/>
        </w:rPr>
        <w:t xml:space="preserve">20__ г.</w:t>
      </w:r>
    </w:p>
    <w:p>
      <w:pPr>
        <w:pStyle w:val="Heading1"/>
        <w:jc w:val="center"/>
        <w:pageBreakBefore/>
      </w:pPr>
      <w:r>
        <w:rPr>
          <w:rFonts w:ascii="Times New Roman" w:hAnsi="Times New Roman" w:cs="Times New Roman"/>
        </w:rPr>
        <w:t xml:space="preserve">ЛИСТ СОГЛАСОВАНИЯ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</w:rPr>
              <w:t xml:space="preserve">Организация, должность</w:t>
            </w:r>
          </w:p>
        </w:tc>
        <w:tc>
          <w:tcPr>
            <w:tcW w:w="2250" w:type="dxa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</w:rPr>
              <w:t xml:space="preserve">Фамилия, инициалы</w:t>
            </w:r>
          </w:p>
        </w:tc>
        <w:tc>
          <w:tcPr>
            <w:tcW w:w="2250" w:type="dxa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</w:rPr>
              <w:t xml:space="preserve">Подпись</w:t>
            </w:r>
          </w:p>
        </w:tc>
        <w:tc>
          <w:tcPr>
            <w:tcW w:w="2250" w:type="dxa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</w:rPr>
              <w:t xml:space="preserve">Дата</w:t>
            </w:r>
          </w:p>
        </w:tc>
      </w:tr>
      <w:tr>
        <w:tc>
          <w:tcPr>
            <w:tcW w:w="225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Заказчик (НИО заказчика), [уточнить]</w:t>
            </w:r>
          </w:p>
        </w:tc>
        <w:tc>
          <w:tcPr>
            <w:tcW w:w="225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[уточнить]</w:t>
            </w:r>
          </w:p>
        </w:tc>
        <w:tc>
          <w:tcPr>
            <w:tcW w:w="225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__________</w:t>
            </w:r>
          </w:p>
        </w:tc>
        <w:tc>
          <w:tcPr>
            <w:tcW w:w="225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«___» ________ 20__ г.</w:t>
            </w:r>
          </w:p>
        </w:tc>
      </w:tr>
      <w:tr>
        <w:tc>
          <w:tcPr>
            <w:tcW w:w="225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Исполнитель составной части ОКР, ООО «тушканчик», [уточнить]</w:t>
            </w:r>
          </w:p>
        </w:tc>
        <w:tc>
          <w:tcPr>
            <w:tcW w:w="225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[уточнить]</w:t>
            </w:r>
          </w:p>
        </w:tc>
        <w:tc>
          <w:tcPr>
            <w:tcW w:w="225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__________</w:t>
            </w:r>
          </w:p>
        </w:tc>
        <w:tc>
          <w:tcPr>
            <w:tcW w:w="225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«___» ________ 20__ г.</w:t>
            </w:r>
          </w:p>
        </w:tc>
      </w:tr>
      <w:tr>
        <w:tc>
          <w:tcPr>
            <w:tcW w:w="225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Головной исполнитель ОКР, [уточнить]</w:t>
            </w:r>
          </w:p>
        </w:tc>
        <w:tc>
          <w:tcPr>
            <w:tcW w:w="225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[уточнить]</w:t>
            </w:r>
          </w:p>
        </w:tc>
        <w:tc>
          <w:tcPr>
            <w:tcW w:w="225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__________</w:t>
            </w:r>
          </w:p>
        </w:tc>
        <w:tc>
          <w:tcPr>
            <w:tcW w:w="225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«___» ________ 20__ г.</w:t>
            </w:r>
          </w:p>
        </w:tc>
      </w:tr>
    </w:tbl>
    <w:p>
      <w:pPr>
        <w:pStyle w:val="Heading1"/>
        <w:jc w:val="center"/>
      </w:pPr>
      <w:r>
        <w:rPr>
          <w:rFonts w:ascii="Times New Roman" w:hAnsi="Times New Roman" w:cs="Times New Roman"/>
        </w:rPr>
        <w:t xml:space="preserve">ПЕРЕЧЕНЬ ОБОЗНАЧЕНИЙ, СОКРАЩЕНИЙ И ТЕРМИНОВ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</w:rPr>
              <w:t xml:space="preserve">Обозначение (термин)</w:t>
            </w:r>
          </w:p>
        </w:tc>
        <w:tc>
          <w:tcPr>
            <w:tcW w:w="4500" w:type="dxa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</w:rPr>
              <w:t xml:space="preserve">Расшифровка (значение)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AMC</w:t>
            </w:r>
          </w:p>
        </w:tc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Advanced Mezzanine Card — модуль стандарта PICMG AMC.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ПЛИС</w:t>
            </w:r>
          </w:p>
        </w:tc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Программируемая логическая интегральная схема.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B2B</w:t>
            </w:r>
          </w:p>
        </w:tc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Межплатное соединение (board-to-board) субплаты и базовой платы.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Board ID</w:t>
            </w:r>
          </w:p>
        </w:tc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Идентификатор субплаты, хранимый в EEPROM и используемый базовой платой для выбора bitstream.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MMC</w:t>
            </w:r>
          </w:p>
        </w:tc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Контроллер управления модулем (Module Management Controller).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РМО</w:t>
            </w:r>
          </w:p>
        </w:tc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Рабочее место оператора.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ОКР</w:t>
            </w:r>
          </w:p>
        </w:tc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Опытно-конструкторская работа.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РКД</w:t>
            </w:r>
          </w:p>
        </w:tc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Рабочая конструкторская документация.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ПМИ</w:t>
            </w:r>
          </w:p>
        </w:tc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Программа и методика испытаний.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E1</w:t>
            </w:r>
          </w:p>
        </w:tc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Цифровая линия со скоростью 2048 кбит/с (2,048 Мбит/с).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LIU</w:t>
            </w:r>
          </w:p>
        </w:tc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Line Interface Unit — линейный интерфейсный узел.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EEPROM</w:t>
            </w:r>
          </w:p>
        </w:tc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Электрически стираемая перепрограммируемая постоянная память.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TDM</w:t>
            </w:r>
          </w:p>
        </w:tc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Мультиплексирование с временным разделением каналов.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PDV</w:t>
            </w:r>
          </w:p>
        </w:tc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Изменение задержки передачи пакетов (packet delay variation).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AIS, RAI, LOS, LOF</w:t>
            </w:r>
          </w:p>
        </w:tc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Сигнал индикации аварии; удалённая индикация аварии; потеря сигнала; потеря синхронизации кадра.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ACR</w:t>
            </w:r>
          </w:p>
        </w:tc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Восстановление адаптивной тактовой частоты от пакетной сети.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CRC-4, CAS, CCS</w:t>
            </w:r>
          </w:p>
        </w:tc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Циклический контроль по 4 битам; канально-ассоциированная сигнализация; общеканальная сигнализация.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ES, SES, UAS</w:t>
            </w:r>
          </w:p>
        </w:tc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Секунды с ошибками; секунды с тяжёлыми ошибками; секунды недоступности.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PRBS, BER</w:t>
            </w:r>
          </w:p>
        </w:tc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Псевдослучайная битовая последовательность; коэффициент битовых ошибок.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ESD</w:t>
            </w:r>
          </w:p>
        </w:tc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Электростатический разряд.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ОТК</w:t>
            </w:r>
          </w:p>
        </w:tc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Отдел технического контроля.</w:t>
            </w:r>
          </w:p>
        </w:tc>
      </w:tr>
      <w:tr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SNMP, MIB</w:t>
            </w:r>
          </w:p>
        </w:tc>
        <w:tc>
          <w:tcPr>
            <w:tcW w:w="45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Протокол простого сетевого управления; база управляющей информации.</w:t>
            </w:r>
          </w:p>
        </w:tc>
      </w:tr>
    </w:tbl>
    <w:p>
      <w:pPr>
        <w:pStyle w:val="Heading1"/>
        <w:jc w:val="center"/>
      </w:pPr>
      <w:r>
        <w:rPr>
          <w:rFonts w:ascii="Times New Roman" w:hAnsi="Times New Roman" w:cs="Times New Roman"/>
        </w:rPr>
        <w:t xml:space="preserve">ПЕРЕЧЕНЬ ПРИМЕНИМЫХ НОРМАТИВНЫХ И СПРАВОЧНЫХ ДОКУМЕНТОВ</w:t>
      </w:r>
    </w:p>
    <w:p>
      <w:pPr/>
      <w:r>
        <w:rPr>
          <w:rFonts w:ascii="Times New Roman" w:hAnsi="Times New Roman" w:cs="Times New Roman"/>
        </w:rPr>
        <w:t xml:space="preserve">ITU-T G.703; ITU-T G.704; ITU-T G.823; ITU-T G.826; RFC 4553 (SAToP); RFC 5086 (CESoPSN); PICMG AMC.0 R2.0; ГОСТ РВ 20.39.304-98; ГОСТ В 25803-91; ГОСТ 2.114-2016; ГОСТ РВ 15.201-2003; ГОСТ 15150; ГОСТ 15.016-2016.</w:t>
      </w:r>
    </w:p>
    <w:p>
      <w:pPr>
        <w:pStyle w:val="Heading1"/>
        <w:jc w:val="center"/>
      </w:pPr>
      <w:r>
        <w:rPr>
          <w:rFonts w:ascii="Times New Roman" w:hAnsi="Times New Roman" w:cs="Times New Roman"/>
        </w:rPr>
        <w:t xml:space="preserve">1. Наименование, шифр, основание, исполнители и сроки ОКР</w:t>
      </w:r>
    </w:p>
    <w:p>
      <w:pPr/>
      <w:r>
        <w:rPr>
          <w:rFonts w:ascii="Times New Roman" w:hAnsi="Times New Roman" w:cs="Times New Roman"/>
        </w:rPr>
        <w:t xml:space="preserve">1.1 Наименование составной части ОКР: разработка сменной интерфейсной субплаты 8×E1 и функционального модуля E1 для универсального базового модуля AMC семейства ДММП.</w:t>
      </w:r>
    </w:p>
    <w:p>
      <w:pPr/>
      <w:r>
        <w:rPr>
          <w:rFonts w:ascii="Times New Roman" w:hAnsi="Times New Roman" w:cs="Times New Roman"/>
        </w:rPr>
        <w:t xml:space="preserve">1.2 Шифр ОКР — «Развитие-ТСА».</w:t>
      </w:r>
    </w:p>
    <w:p>
      <w:pPr/>
      <w:r>
        <w:rPr>
          <w:rFonts w:ascii="Times New Roman" w:hAnsi="Times New Roman" w:cs="Times New Roman"/>
        </w:rPr>
        <w:t xml:space="preserve">1.3 Основание выполнения — приказ об открытии инициативной ОКР № [уточнить] от [уточнить].</w:t>
      </w:r>
    </w:p>
    <w:p>
      <w:pPr/>
      <w:r>
        <w:rPr>
          <w:rFonts w:ascii="Times New Roman" w:hAnsi="Times New Roman" w:cs="Times New Roman"/>
        </w:rPr>
        <w:t xml:space="preserve">1.4 Исполнитель составной части ОКР — ООО «тушканчик» (условное наименование).</w:t>
      </w:r>
    </w:p>
    <w:p>
      <w:pPr/>
      <w:r>
        <w:rPr>
          <w:rFonts w:ascii="Times New Roman" w:hAnsi="Times New Roman" w:cs="Times New Roman"/>
        </w:rPr>
        <w:t xml:space="preserve">1.5 Сроки выполнения должны быть увязаны с утверждённым планом-графиком разработки РКД, программной документации, изготовления образцов и испытаний. Даты начала и окончания работ — [уточнить].</w:t>
      </w:r>
    </w:p>
    <w:p>
      <w:pPr>
        <w:pStyle w:val="Heading1"/>
        <w:jc w:val="center"/>
      </w:pPr>
      <w:r>
        <w:rPr>
          <w:rFonts w:ascii="Times New Roman" w:hAnsi="Times New Roman" w:cs="Times New Roman"/>
        </w:rPr>
        <w:t xml:space="preserve">2. Цель выполнения, наименование, назначение и область применения изделия</w:t>
      </w:r>
    </w:p>
    <w:p>
      <w:pPr/>
      <w:r>
        <w:rPr>
          <w:rFonts w:ascii="Times New Roman" w:hAnsi="Times New Roman" w:cs="Times New Roman"/>
        </w:rPr>
        <w:t xml:space="preserve">2.1 Цель — подключение восьми независимых линий E1 к платформе ДММП с передачей TDM через Ethernet, компенсацией сетевого джиттера и восстановлением частоты.</w:t>
      </w:r>
    </w:p>
    <w:p>
      <w:pPr/>
      <w:r>
        <w:rPr>
          <w:rFonts w:ascii="Times New Roman" w:hAnsi="Times New Roman" w:cs="Times New Roman"/>
        </w:rPr>
        <w:t xml:space="preserve">2.2 Изделие состоит из аппаратной части: сменной субплаты с интерфейсами, защитой, трансиверами и EEPROM; и логической части: функционального модуля ПЛИС базовой платы, автоматически активируемого по Board ID.</w:t>
      </w:r>
    </w:p>
    <w:p>
      <w:pPr/>
      <w:r>
        <w:rPr>
          <w:rFonts w:ascii="Times New Roman" w:hAnsi="Times New Roman" w:cs="Times New Roman"/>
        </w:rPr>
        <w:t xml:space="preserve">2.3 Изделие предназначено для установки AMC на Carrier платформы ДММП.</w:t>
      </w:r>
    </w:p>
    <w:p>
      <w:pPr/>
      <w:r>
        <w:rPr>
          <w:rFonts w:ascii="Times New Roman" w:hAnsi="Times New Roman" w:cs="Times New Roman"/>
        </w:rPr>
        <w:t xml:space="preserve">2.4 Область применения: системы TDM/SDH/PDH, телефонные станции, диспетчеризация и АСУ ТП энергетических и промышленных предприятий.</w:t>
      </w:r>
    </w:p>
    <w:p>
      <w:pPr>
        <w:pStyle w:val="Heading1"/>
        <w:jc w:val="center"/>
      </w:pPr>
      <w:r>
        <w:rPr>
          <w:rFonts w:ascii="Times New Roman" w:hAnsi="Times New Roman" w:cs="Times New Roman"/>
        </w:rPr>
        <w:t xml:space="preserve">3. Технические требования к изделию</w:t>
      </w:r>
    </w:p>
    <w:p>
      <w:pPr>
        <w:pStyle w:val="Heading2"/>
      </w:pPr>
      <w:r>
        <w:rPr>
          <w:rFonts w:ascii="Times New Roman" w:hAnsi="Times New Roman" w:cs="Times New Roman"/>
        </w:rPr>
        <w:t xml:space="preserve">3.1 Архитектура и линии E1</w:t>
      </w:r>
    </w:p>
    <w:p>
      <w:pPr/>
      <w:r>
        <w:rPr>
          <w:rFonts w:ascii="Times New Roman" w:hAnsi="Times New Roman" w:cs="Times New Roman"/>
        </w:rPr>
        <w:t xml:space="preserve">3.1.1 Субплата должна содержать 8 экранированных разъёмов RJ-48C (8P8C), защиту, импульсные трансформаторы, восьмиканальный LIU, EEPROM Board ID и индикацию портов.</w:t>
      </w:r>
    </w:p>
    <w:p>
      <w:pPr/>
      <w:r>
        <w:rPr>
          <w:rFonts w:ascii="Times New Roman" w:hAnsi="Times New Roman" w:cs="Times New Roman"/>
        </w:rPr>
        <w:t xml:space="preserve">3.1.2 Через B2B базовая плата должна предоставлять субплате +12 В, +3,3 В, MMC и тактирование, а также выбирать bitstream E1 из Flash по Board ID. Числовое значение Board ID — [уточнить].</w:t>
      </w:r>
    </w:p>
    <w:p>
      <w:pPr/>
      <w:r>
        <w:rPr>
          <w:rFonts w:ascii="Times New Roman" w:hAnsi="Times New Roman" w:cs="Times New Roman"/>
        </w:rPr>
        <w:t xml:space="preserve">3.1.3 Каждый порт должен иметь симметричный двухпарный интерфейс 120 Ом, скорость 2048 кбит/с (2,048 Мбит/с) ±50 ppm, кодирование HDB3 или AMI и маску импульса по ITU-T G.703.</w:t>
      </w:r>
    </w:p>
    <w:p>
      <w:pPr/>
      <w:r>
        <w:rPr>
          <w:rFonts w:ascii="Times New Roman" w:hAnsi="Times New Roman" w:cs="Times New Roman"/>
        </w:rPr>
        <w:t xml:space="preserve">3.1.4 Каждый порт должен иметь трансформаторную изоляцию не менее 1500 В RMS при 50 Гц в течение 1 мин и супрессорную защиту от перенапряжений и ESD.</w:t>
      </w:r>
    </w:p>
    <w:p>
      <w:pPr/>
      <w:r>
        <w:rPr>
          <w:rFonts w:ascii="Times New Roman" w:hAnsi="Times New Roman" w:cs="Times New Roman"/>
        </w:rPr>
        <w:t xml:space="preserve">3.1.5 Короткое замыкание, обрыв или перепутывание пар одного порта не должны влиять на другие порты и модуль.</w:t>
      </w:r>
    </w:p>
    <w:p>
      <w:pPr/>
      <w:r>
        <w:rPr>
          <w:i/>
          <w:rFonts w:ascii="Times New Roman" w:hAnsi="Times New Roman" w:cs="Times New Roman"/>
        </w:rPr>
        <w:t xml:space="preserve">Проверка 3.1: осмотром, измерением и испытанием подтверждают состав субплаты, параметры каждого E1-порта, изоляцию и независимость остальных портов и модуля при указанных неисправностях одного порта; наблюдаемый результат — выполнение требований 3.1.1–3.1.5. Средства измерения и методика — [уточнить].</w:t>
      </w:r>
    </w:p>
    <w:p>
      <w:pPr>
        <w:pStyle w:val="Heading2"/>
      </w:pPr>
      <w:r>
        <w:rPr>
          <w:rFonts w:ascii="Times New Roman" w:hAnsi="Times New Roman" w:cs="Times New Roman"/>
        </w:rPr>
        <w:t xml:space="preserve">3.2 Обработка, тактирование и аварии</w:t>
      </w:r>
    </w:p>
    <w:p>
      <w:pPr/>
      <w:r>
        <w:rPr>
          <w:rFonts w:ascii="Times New Roman" w:hAnsi="Times New Roman" w:cs="Times New Roman"/>
        </w:rPr>
        <w:t xml:space="preserve">3.2.1 Для каждого порта независимо должны поддерживаться: профиль А SAToP по RFC 4553 — полный неструктурированный поток с настраиваемой полезной нагрузкой и минимальной аппаратной задержкой; и профиль Б CESoPSN по RFC 5086 — N×64 кбит/с, TS1–TS31, G.704, CRC-4, CAS (TS16) и CCS.</w:t>
      </w:r>
    </w:p>
    <w:p>
      <w:pPr/>
      <w:r>
        <w:rPr>
          <w:rFonts w:ascii="Times New Roman" w:hAnsi="Times New Roman" w:cs="Times New Roman"/>
        </w:rPr>
        <w:t xml:space="preserve">3.2.2 Fabric 10GbE должна обеспечивать Strict Priority QoS, передачу без потерь и минимальную задержку коммутации.</w:t>
      </w:r>
    </w:p>
    <w:p>
      <w:pPr/>
      <w:r>
        <w:rPr>
          <w:rFonts w:ascii="Times New Roman" w:hAnsi="Times New Roman" w:cs="Times New Roman"/>
        </w:rPr>
        <w:t xml:space="preserve">3.2.3 Джиттер-буфер каждого канала должен иметь диапазон 1–64 мс для компенсации PDV.</w:t>
      </w:r>
    </w:p>
    <w:p>
      <w:pPr/>
      <w:r>
        <w:rPr>
          <w:rFonts w:ascii="Times New Roman" w:hAnsi="Times New Roman" w:cs="Times New Roman"/>
        </w:rPr>
        <w:t xml:space="preserve">3.2.4 При потере пакетов или аварии сети должен выдаваться AIS («все единицы») при сохранении тактирования.</w:t>
      </w:r>
    </w:p>
    <w:p>
      <w:pPr/>
      <w:r>
        <w:rPr>
          <w:rFonts w:ascii="Times New Roman" w:hAnsi="Times New Roman" w:cs="Times New Roman"/>
        </w:rPr>
        <w:t xml:space="preserve">3.2.5 Передатчик должен поддерживать режимы: системный TCLK, ACR от пакетной сети, Free-run/Holdover и Loop timing. Восстановленная частота 2,048 МГц любого выбранного входного порта должна передаваться через B2B как кандидат синхронизации шасси. Джиттер и вандер должны соответствовать ITU-T G.823.</w:t>
      </w:r>
    </w:p>
    <w:p>
      <w:pPr/>
      <w:r>
        <w:rPr>
          <w:rFonts w:ascii="Times New Roman" w:hAnsi="Times New Roman" w:cs="Times New Roman"/>
        </w:rPr>
        <w:t xml:space="preserve">3.2.6 Должен осуществляться непрерывный контроль LOS, LOF в кадровом режиме, AIS, RAI, CRC-4, нарушений HDB3 и Frame slips. Должна вестись статистика ITU-T G.826: ES, SES, UAS.</w:t>
      </w:r>
    </w:p>
    <w:p>
      <w:pPr/>
      <w:r>
        <w:rPr>
          <w:rFonts w:ascii="Times New Roman" w:hAnsi="Times New Roman" w:cs="Times New Roman"/>
        </w:rPr>
        <w:t xml:space="preserve">3.2.7 Для каждого порта должны поддерживаться Local Line Loopback, Payload Loopback и Packet Loopback, а также встроенные генератор и анализатор PRBS 215−1 и 223−1 для BER-тестов.</w:t>
      </w:r>
    </w:p>
    <w:p>
      <w:pPr/>
      <w:r>
        <w:rPr>
          <w:i/>
          <w:rFonts w:ascii="Times New Roman" w:hAnsi="Times New Roman" w:cs="Times New Roman"/>
        </w:rPr>
        <w:t xml:space="preserve">Проверка 3.2: тестом каждого порта в профилях SAToP и CESoPSN, с указанными режимами тактирования, авариями сети и петлями, подтверждают передаваемый поток, состояние AIS с сохранением тактирования, сигналы аварий, статистику и PRBS; наблюдаемый результат — выполнение требований 3.2.1–3.2.7. Методика оценки «минимальной» задержки, отсутствия потерь и допустимого джиттера/вандера — [уточнить].</w:t>
      </w:r>
    </w:p>
    <w:p>
      <w:pPr>
        <w:pStyle w:val="Heading2"/>
      </w:pPr>
      <w:r>
        <w:rPr>
          <w:rFonts w:ascii="Times New Roman" w:hAnsi="Times New Roman" w:cs="Times New Roman"/>
        </w:rPr>
        <w:t xml:space="preserve">3.3 Конструкция и эксплуатация</w:t>
      </w:r>
    </w:p>
    <w:p>
      <w:pPr/>
      <w:r>
        <w:rPr>
          <w:rFonts w:ascii="Times New Roman" w:hAnsi="Times New Roman" w:cs="Times New Roman"/>
        </w:rPr>
        <w:t xml:space="preserve">3.3.1 Конструкция должна обеспечивать крепление к общему лонжерону-теплоотводу и лицевой панели. Разъёмы должны сохранять доступ к защёлкам, обзор светодиодов и вентиляцию.</w:t>
      </w:r>
    </w:p>
    <w:p>
      <w:pPr/>
      <w:r>
        <w:rPr>
          <w:rFonts w:ascii="Times New Roman" w:hAnsi="Times New Roman" w:cs="Times New Roman"/>
        </w:rPr>
        <w:t xml:space="preserve">3.3.2 Мощность при всех активных портах: субплата — не более 12 Вт; сборка — не более 35 Вт.</w:t>
      </w:r>
    </w:p>
    <w:p>
      <w:pPr/>
      <w:r>
        <w:rPr>
          <w:rFonts w:ascii="Times New Roman" w:hAnsi="Times New Roman" w:cs="Times New Roman"/>
        </w:rPr>
        <w:t xml:space="preserve">3.3.3 Конструкция должна соответствовать Single Full-size AMC.0, габаритам 73,5 × 180,6 × 28,95 мм и предусматривать межплатное крепление на 4–6 металлических стойках М2,5.</w:t>
      </w:r>
    </w:p>
    <w:p>
      <w:pPr/>
      <w:r>
        <w:rPr>
          <w:rFonts w:ascii="Times New Roman" w:hAnsi="Times New Roman" w:cs="Times New Roman"/>
        </w:rPr>
        <w:t xml:space="preserve">3.3.4 Стойкость должна соответствовать ГОСТ РВ 20.39.304-98, группам 1.1, 1.3, 1.4.1, исполнению «О»: рабочая температура от −10 до +50 °C, предельная — от −40 до +65 °C, синусоидальная вибрация 5g, удары 15g. Радиопомехи — группа 1.1.1 ГОСТ В 25803-91.</w:t>
      </w:r>
    </w:p>
    <w:p>
      <w:pPr/>
      <w:r>
        <w:rPr>
          <w:rFonts w:ascii="Times New Roman" w:hAnsi="Times New Roman" w:cs="Times New Roman"/>
        </w:rPr>
        <w:t xml:space="preserve">3.3.5 Средняя наработка на отказ должна быть не менее 15 000 ч; назначенный срок службы — не менее 20 лет.</w:t>
      </w:r>
    </w:p>
    <w:p>
      <w:pPr/>
      <w:r>
        <w:rPr>
          <w:i/>
          <w:rFonts w:ascii="Times New Roman" w:hAnsi="Times New Roman" w:cs="Times New Roman"/>
        </w:rPr>
        <w:t xml:space="preserve">Проверка 3.3: осмотром, измерением, расчётом и испытаниями подтверждают конструктивное исполнение, мощность, стойкость, радиопомехи и показатели надёжности; наблюдаемый результат — выполнение требований 3.3.1–3.3.5. Погрешности измерений, методики испытаний и методы оценки надёжности — [уточнить].</w:t>
      </w:r>
    </w:p>
    <w:p>
      <w:pPr>
        <w:pStyle w:val="Heading1"/>
        <w:jc w:val="center"/>
      </w:pPr>
      <w:r>
        <w:rPr>
          <w:rFonts w:ascii="Times New Roman" w:hAnsi="Times New Roman" w:cs="Times New Roman"/>
        </w:rPr>
        <w:t xml:space="preserve">4. Технико-экономические требования</w:t>
      </w:r>
    </w:p>
    <w:p>
      <w:pPr/>
      <w:r>
        <w:rPr>
          <w:rFonts w:ascii="Times New Roman" w:hAnsi="Times New Roman" w:cs="Times New Roman"/>
        </w:rPr>
        <w:t xml:space="preserve">4.1 Технико-экономические требования не предъявляются.</w:t>
      </w:r>
    </w:p>
    <w:p>
      <w:pPr>
        <w:pStyle w:val="Heading1"/>
        <w:jc w:val="center"/>
      </w:pPr>
      <w:r>
        <w:rPr>
          <w:rFonts w:ascii="Times New Roman" w:hAnsi="Times New Roman" w:cs="Times New Roman"/>
        </w:rPr>
        <w:t xml:space="preserve">5. Требования к видам обеспечения</w:t>
      </w:r>
    </w:p>
    <w:p>
      <w:pPr>
        <w:pStyle w:val="Heading2"/>
      </w:pPr>
      <w:r>
        <w:rPr>
          <w:rFonts w:ascii="Times New Roman" w:hAnsi="Times New Roman" w:cs="Times New Roman"/>
        </w:rPr>
        <w:t xml:space="preserve">5.1 Нормативно-техническое обеспечение</w:t>
      </w:r>
    </w:p>
    <w:p>
      <w:pPr/>
      <w:r>
        <w:rPr>
          <w:rFonts w:ascii="Times New Roman" w:hAnsi="Times New Roman" w:cs="Times New Roman"/>
        </w:rPr>
        <w:t xml:space="preserve">5.1.1 При разработке должны применяться документы, перечисленные в разделе «Перечень применимых нормативных и справочных документов» настоящего ТЗ.</w:t>
      </w:r>
    </w:p>
    <w:p>
      <w:pPr>
        <w:pStyle w:val="Heading2"/>
      </w:pPr>
      <w:r>
        <w:rPr>
          <w:rFonts w:ascii="Times New Roman" w:hAnsi="Times New Roman" w:cs="Times New Roman"/>
        </w:rPr>
        <w:t xml:space="preserve">5.2 Метрологическое обеспечение</w:t>
      </w:r>
    </w:p>
    <w:p>
      <w:pPr/>
      <w:r>
        <w:rPr>
          <w:rFonts w:ascii="Times New Roman" w:hAnsi="Times New Roman" w:cs="Times New Roman"/>
        </w:rPr>
        <w:t xml:space="preserve">5.2.1 Должны быть предусмотрены средства и методики измерения маски импульса E1, джиттера/вандера, BER и задержки пакетизации. Незаданные допуски не устанавливаются.</w:t>
      </w:r>
    </w:p>
    <w:p>
      <w:pPr>
        <w:pStyle w:val="Heading2"/>
      </w:pPr>
      <w:r>
        <w:rPr>
          <w:rFonts w:ascii="Times New Roman" w:hAnsi="Times New Roman" w:cs="Times New Roman"/>
        </w:rPr>
        <w:t xml:space="preserve">5.3 Диагностическое обеспечение</w:t>
      </w:r>
    </w:p>
    <w:p>
      <w:pPr/>
      <w:r>
        <w:rPr>
          <w:rFonts w:ascii="Times New Roman" w:hAnsi="Times New Roman" w:cs="Times New Roman"/>
        </w:rPr>
        <w:t xml:space="preserve">5.3.1 Должны быть обеспечены регистрация LOS/LOF/AIS/RAI и счётчиков ошибок, а также формирование сообщений и отчётов для РМО.</w:t>
      </w:r>
    </w:p>
    <w:p>
      <w:pPr>
        <w:pStyle w:val="Heading2"/>
      </w:pPr>
      <w:r>
        <w:rPr>
          <w:rFonts w:ascii="Times New Roman" w:hAnsi="Times New Roman" w:cs="Times New Roman"/>
        </w:rPr>
        <w:t xml:space="preserve">5.4 Программное обеспечение</w:t>
      </w:r>
    </w:p>
    <w:p>
      <w:pPr/>
      <w:r>
        <w:rPr>
          <w:rFonts w:ascii="Times New Roman" w:hAnsi="Times New Roman" w:cs="Times New Roman"/>
        </w:rPr>
        <w:t xml:space="preserve">5.4.1 Должны быть разработаны bitstream функционального модуля для Flash базовой платы, драйверы Linux и MIB для РМО / SNMP.</w:t>
      </w:r>
    </w:p>
    <w:p>
      <w:pPr/>
      <w:r>
        <w:rPr>
          <w:i/>
          <w:rFonts w:ascii="Times New Roman" w:hAnsi="Times New Roman" w:cs="Times New Roman"/>
        </w:rPr>
        <w:t xml:space="preserve">Проверка раздела 5: анализом документации и функциональным тестом подтверждают наличие предусмотренных средств, методик, регистрируемых событий, сообщений, отчётов, bitstream, драйверов и MIB; наблюдаемый результат — выполнение требований 5.1–5.4.</w:t>
      </w:r>
    </w:p>
    <w:p>
      <w:pPr>
        <w:pStyle w:val="Heading1"/>
        <w:jc w:val="center"/>
      </w:pPr>
      <w:r>
        <w:rPr>
          <w:rFonts w:ascii="Times New Roman" w:hAnsi="Times New Roman" w:cs="Times New Roman"/>
        </w:rPr>
        <w:t xml:space="preserve">6. Требования к сырью, материалам и комплектующим изделиям</w:t>
      </w:r>
    </w:p>
    <w:p>
      <w:pPr/>
      <w:r>
        <w:rPr>
          <w:rFonts w:ascii="Times New Roman" w:hAnsi="Times New Roman" w:cs="Times New Roman"/>
        </w:rPr>
        <w:t xml:space="preserve">6.1 Должен быть предусмотрен приоритет отечественных материалов и комплектующих изделий с приёмкой ОТК.</w:t>
      </w:r>
    </w:p>
    <w:p>
      <w:pPr/>
      <w:r>
        <w:rPr>
          <w:rFonts w:ascii="Times New Roman" w:hAnsi="Times New Roman" w:cs="Times New Roman"/>
        </w:rPr>
        <w:t xml:space="preserve">6.2 При отсутствии аналогов допускается применение импортной ЭКБ промышленного температурного диапазона.</w:t>
      </w:r>
    </w:p>
    <w:p>
      <w:pPr/>
      <w:r>
        <w:rPr>
          <w:i/>
          <w:rFonts w:ascii="Times New Roman" w:hAnsi="Times New Roman" w:cs="Times New Roman"/>
        </w:rPr>
        <w:t xml:space="preserve">Проверка раздела 6: анализом перечней применяемых материалов и комплектующих, а также документов приёмки подтверждают выполнение требований 6.1 и 6.2; наблюдаемый результат — приоритет отечественных позиций и обоснованность применения импортной ЭКБ при отсутствии аналогов.</w:t>
      </w:r>
    </w:p>
    <w:p>
      <w:pPr>
        <w:pStyle w:val="Heading1"/>
        <w:jc w:val="center"/>
      </w:pPr>
      <w:r>
        <w:rPr>
          <w:rFonts w:ascii="Times New Roman" w:hAnsi="Times New Roman" w:cs="Times New Roman"/>
        </w:rPr>
        <w:t xml:space="preserve">7. Требования к консервации, упаковке и маркировке</w:t>
      </w:r>
    </w:p>
    <w:p>
      <w:pPr/>
      <w:r>
        <w:rPr>
          <w:rFonts w:ascii="Times New Roman" w:hAnsi="Times New Roman" w:cs="Times New Roman"/>
        </w:rPr>
        <w:t xml:space="preserve">7.1 Маркировка должна содержать децимальный и серийный номера, ревизию и обозначения портов E1-1…E1-8.</w:t>
      </w:r>
    </w:p>
    <w:p>
      <w:pPr/>
      <w:r>
        <w:rPr>
          <w:rFonts w:ascii="Times New Roman" w:hAnsi="Times New Roman" w:cs="Times New Roman"/>
        </w:rPr>
        <w:t xml:space="preserve">7.2 Должна быть предусмотрена индивидуальная тара с ESD-защитой.</w:t>
      </w:r>
    </w:p>
    <w:p>
      <w:pPr/>
      <w:r>
        <w:rPr>
          <w:rFonts w:ascii="Times New Roman" w:hAnsi="Times New Roman" w:cs="Times New Roman"/>
        </w:rPr>
        <w:t xml:space="preserve">7.3 Хранение в заводской таре должно обеспечиваться не менее 1 года по ГОСТ 15150. Условия консервации — [уточнить].</w:t>
      </w:r>
    </w:p>
    <w:p>
      <w:pPr/>
      <w:r>
        <w:rPr>
          <w:i/>
          <w:rFonts w:ascii="Times New Roman" w:hAnsi="Times New Roman" w:cs="Times New Roman"/>
        </w:rPr>
        <w:t xml:space="preserve">Проверка раздела 7: осмотром маркировки и тары, а также анализом требований к хранению подтверждают выполнение требований 7.1–7.3; наблюдаемый результат — наличие требуемых обозначений, ESD-защиты и установленного срока хранения.</w:t>
      </w:r>
    </w:p>
    <w:p>
      <w:pPr>
        <w:pStyle w:val="Heading1"/>
        <w:jc w:val="center"/>
      </w:pPr>
      <w:r>
        <w:rPr>
          <w:rFonts w:ascii="Times New Roman" w:hAnsi="Times New Roman" w:cs="Times New Roman"/>
        </w:rPr>
        <w:t xml:space="preserve">8. Специальные требования</w:t>
      </w:r>
    </w:p>
    <w:p>
      <w:pPr/>
      <w:r>
        <w:rPr>
          <w:rFonts w:ascii="Times New Roman" w:hAnsi="Times New Roman" w:cs="Times New Roman"/>
        </w:rPr>
        <w:t xml:space="preserve">8.1 Телеметрия РМО (C++/Qt) должна включать мнемосхему 8 портов, индикацию LOS/LOF/AIS/RAI, счётчики G.826, отображение SAToP/CESoPSN и источника тактирования.</w:t>
      </w:r>
    </w:p>
    <w:p>
      <w:pPr/>
      <w:r>
        <w:rPr>
          <w:rFonts w:ascii="Times New Roman" w:hAnsi="Times New Roman" w:cs="Times New Roman"/>
        </w:rPr>
        <w:t xml:space="preserve">8.2 Должны быть предусмотрены команды включения/отключения портов, изменения джиттер-буфера, управления диагностическими петлями и PRBS.</w:t>
      </w:r>
    </w:p>
    <w:p>
      <w:pPr/>
      <w:r>
        <w:rPr>
          <w:i/>
          <w:rFonts w:ascii="Times New Roman" w:hAnsi="Times New Roman" w:cs="Times New Roman"/>
        </w:rPr>
        <w:t xml:space="preserve">Проверка раздела 8: функциональным тестом РМО подтверждают отображение для восьми портов и выполнение каждой предусмотренной команды; наблюдаемый результат — изменение доступных состояний и отображение фактических данных согласно требованиям 8.1 и 8.2.</w:t>
      </w:r>
    </w:p>
    <w:p>
      <w:pPr>
        <w:pStyle w:val="Heading1"/>
        <w:jc w:val="center"/>
        <w:pageBreakBefore/>
      </w:pPr>
      <w:r>
        <w:rPr>
          <w:rFonts w:ascii="Times New Roman" w:hAnsi="Times New Roman" w:cs="Times New Roman"/>
        </w:rPr>
        <w:t xml:space="preserve">ЛИСТ ПОДПИСЕЙ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Разработчик ТЗ
ООО «тушканчик»
Должность: [уточнить]</w:t>
            </w:r>
          </w:p>
        </w:tc>
        <w:tc>
          <w:tcPr>
            <w:tcW w:w="30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__________</w:t>
            </w:r>
          </w:p>
        </w:tc>
        <w:tc>
          <w:tcPr>
            <w:tcW w:w="30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[уточнить]
«___» ________ 20__ г.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Согласовано
Головной исполнитель ОКР
Должность: [уточнить]</w:t>
            </w:r>
          </w:p>
        </w:tc>
        <w:tc>
          <w:tcPr>
            <w:tcW w:w="30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__________</w:t>
            </w:r>
          </w:p>
        </w:tc>
        <w:tc>
          <w:tcPr>
            <w:tcW w:w="30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[уточнить]
«___» ________ 20__ г.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Согласовано
Другая организация: [уточнить]
Должность: [уточнить]</w:t>
            </w:r>
          </w:p>
        </w:tc>
        <w:tc>
          <w:tcPr>
            <w:tcW w:w="30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__________</w:t>
            </w:r>
          </w:p>
        </w:tc>
        <w:tc>
          <w:tcPr>
            <w:tcW w:w="3000" w:type="dxa"/>
          </w:tcPr>
          <w:p>
            <w:pPr/>
            <w:r>
              <w:rPr>
                <w:rFonts w:ascii="Times New Roman" w:hAnsi="Times New Roman" w:cs="Times New Roman"/>
              </w:rPr>
              <w:t xml:space="preserve">[уточнить]
«___» ________ 20__ г.</w:t>
            </w:r>
          </w:p>
        </w:tc>
      </w:tr>
    </w:tbl>
    <w:sectPr>
      <w:pgSz w:w="11906" w:h="16838"/>
      <w:pgMar w:top="1134" w:right="1021" w:bottom="1021" w:left="1417" w:header="708" w:footer="708" w:gutter="0"/>
      <w:pgNumType w:start="1"/>
    </w:sectPr>
  </w:body>
</w:document>
</file>

<file path=word/styles.xml><?xml version="1.0" encoding="UTF-8" standalone="yes"?><w:styles xmlns:w="http://schemas.openxmlformats.org/wordprocessingml/2006/main"><w:docDefaults><w:rPrDefault><w:rPr><w:rFonts w:ascii="Times New Roman" w:hAnsi="Times New Roman" w:cs="Times New Roman"/><w:sz w:val="24"/><w:szCs w:val="24"/></w:rPr></w:rPrDefault></w:docDefaults><w:style w:type="paragraph" w:styleId="Heading1"><w:name w:val="heading 1"/><w:basedOn w:val="Normal"/><w:pPr><w:spacing w:before="240" w:after="120"/><w:keepNext/><w:jc w:val="center"/></w:pPr><w:rPr><w:b/><w:sz w:val="30"/></w:rPr></w:style><w:style w:type="paragraph" w:styleId="Heading2"><w:name w:val="heading 2"/><w:basedOn w:val="Normal"/><w:pPr><w:spacing w:before="180" w:after="90"/><w:keepNext/></w:pPr><w:rPr><w:b/><w:sz w:val="26"/></w:rPr></w:style><w:style w:type="paragraph" w:styleId="Heading3"><w:name w:val="heading 3"/><w:basedOn w:val="Normal"/><w:rPr><w:b/></w:style>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Техническое задание на составную часть ОКР</dc:title>
  <dc:language>ru-RU</dc:language>
</cp:coreProperties>
</file>