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[Наименование организации заказчика — уточнить]</w:t>
      </w:r>
    </w:p>
    <w:p>
      <w:pPr/>
      <w:r>
        <w:rPr/>
        <w:t xml:space="preserve">[Регистрационный номер — уточнить]</w:t>
      </w:r>
    </w:p>
    <w:p>
      <w:pPr/>
      <w:r>
        <w:rPr/>
        <w:t xml:space="preserve">УТВЕРЖДЕНО</w:t>
      </w:r>
      <w:r>
        <w:rPr/>
        <w:t xml:space="preserve">______________________________</w:t>
      </w:r>
      <w:r>
        <w:rPr/>
        <w:t xml:space="preserve">[должность, ФИО, подпись — уточнить]</w:t>
      </w:r>
      <w:r>
        <w:rPr/>
        <w:t xml:space="preserve">«___» __________ 20__ г.</w:t>
      </w:r>
    </w:p>
    <w:p>
      <w:pPr>
        <w:pStyle w:val="Heading1"/>
        <w:jc w:val="center"/>
      </w:pPr>
      <w:r>
        <w:rPr/>
        <w:t xml:space="preserve">ТЕХНИЧЕСКОЕ ЗАДАНИЕ</w:t>
      </w:r>
    </w:p>
    <w:p>
      <w:pPr/>
      <w:r>
        <w:rPr/>
        <w:t xml:space="preserve">на выполнение составной части ОКР</w:t>
      </w:r>
    </w:p>
    <w:p>
      <w:pPr/>
      <w:r>
        <w:rPr>
          <w:b/>
        </w:rPr>
        <w:t xml:space="preserve">Разработка сменной интерфейсной субплаты E2/E3</w:t>
      </w:r>
      <w:r>
        <w:rPr>
          <w:b/>
        </w:rPr>
        <w:t xml:space="preserve">и функционального модуля PDH</w:t>
      </w:r>
      <w:r>
        <w:rPr>
          <w:b/>
        </w:rPr>
        <w:t xml:space="preserve">для универсального базового модуля AMC семейства ДММП</w:t>
      </w:r>
    </w:p>
    <w:p>
      <w:pPr/>
      <w:r>
        <w:rPr/>
        <w:t xml:space="preserve">Шифр ОКР: «Развитие-ТСА»</w:t>
      </w:r>
    </w:p>
    <w:p>
      <w:pPr/>
      <w:r>
        <w:rPr/>
        <w:t xml:space="preserve">Срок действия: в соответствии с утверждённым планом-графиком [уточнить]</w:t>
      </w:r>
    </w:p>
    <w:p>
      <w:pPr/>
      <w:r>
        <w:br w:type="page"/>
      </w:r>
    </w:p>
    <w:p>
      <w:pPr>
        <w:pStyle w:val="Heading1"/>
        <w:jc w:val="center"/>
      </w:pPr>
      <w:r>
        <w:rPr/>
        <w:t xml:space="preserve">ЛИСТ СОГЛАСОВАНИЯ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b/>
              </w:rPr>
              <w:t xml:space="preserve">Организация / должность</w:t>
            </w:r>
          </w:p>
        </w:tc>
        <w:tc>
          <w:p>
            <w:pPr/>
            <w:r>
              <w:rPr>
                <w:b/>
              </w:rPr>
              <w:t xml:space="preserve">ФИО</w:t>
            </w:r>
          </w:p>
        </w:tc>
        <w:tc>
          <w:p>
            <w:pPr/>
            <w:r>
              <w:rPr>
                <w:b/>
              </w:rPr>
              <w:t xml:space="preserve">Подпись</w:t>
            </w:r>
          </w:p>
        </w:tc>
        <w:tc>
          <w:p>
            <w:pPr/>
            <w:r>
              <w:rPr>
                <w:b/>
              </w:rPr>
              <w:t xml:space="preserve">Дата</w:t>
            </w:r>
          </w:p>
        </w:tc>
      </w:tr>
      <w:tr>
        <w:tc>
          <w:p>
            <w:pPr/>
            <w:r>
              <w:rPr/>
              <w:t xml:space="preserve">Головной исполнитель ОКР / исполнитель</w:t>
            </w:r>
          </w:p>
        </w:tc>
        <w:tc>
          <w:p>
            <w:pPr/>
            <w:r>
              <w:rPr/>
              <w:t xml:space="preserve">[уточнить]</w:t>
            </w:r>
          </w:p>
        </w:tc>
        <w:tc>
          <w:p>
            <w:pPr/>
            <w:r>
              <w:rPr/>
              <w:t xml:space="preserve">____________</w:t>
            </w:r>
          </w:p>
        </w:tc>
        <w:tc>
          <w:p>
            <w:pPr/>
            <w:r>
              <w:rPr/>
              <w:t xml:space="preserve">«___» ______ 20__ г.</w:t>
            </w:r>
          </w:p>
        </w:tc>
      </w:tr>
      <w:tr>
        <w:tc>
          <w:p>
            <w:pPr/>
            <w:r>
              <w:rPr/>
              <w:t xml:space="preserve">Исполнитель составной части ОКР</w:t>
            </w:r>
          </w:p>
        </w:tc>
        <w:tc>
          <w:p>
            <w:pPr/>
            <w:r>
              <w:rPr/>
              <w:t xml:space="preserve">[уточнить]</w:t>
            </w:r>
          </w:p>
        </w:tc>
        <w:tc>
          <w:p>
            <w:pPr/>
            <w:r>
              <w:rPr/>
              <w:t xml:space="preserve">____________</w:t>
            </w:r>
          </w:p>
        </w:tc>
        <w:tc>
          <w:p>
            <w:pPr/>
            <w:r>
              <w:rPr/>
              <w:t xml:space="preserve">«___» ______ 20__ г.</w:t>
            </w:r>
          </w:p>
        </w:tc>
      </w:tr>
      <w:tr>
        <w:tc>
          <w:p>
            <w:pPr/>
            <w:r>
              <w:rPr/>
              <w:t xml:space="preserve">Заказчик</w:t>
            </w:r>
          </w:p>
        </w:tc>
        <w:tc>
          <w:p>
            <w:pPr/>
            <w:r>
              <w:rPr/>
              <w:t xml:space="preserve">[уточнить]</w:t>
            </w:r>
          </w:p>
        </w:tc>
        <w:tc>
          <w:p>
            <w:pPr/>
            <w:r>
              <w:rPr/>
              <w:t xml:space="preserve">____________</w:t>
            </w:r>
          </w:p>
        </w:tc>
        <w:tc>
          <w:p>
            <w:pPr/>
            <w:r>
              <w:rPr/>
              <w:t xml:space="preserve">«___» ______ 20__ г.</w:t>
            </w:r>
          </w:p>
        </w:tc>
      </w:tr>
      <w:tr>
        <w:tc>
          <w:p>
            <w:pPr/>
            <w:r>
              <w:rPr/>
              <w:t xml:space="preserve">Другие согласующие организации (при необходимости)</w:t>
            </w:r>
          </w:p>
        </w:tc>
        <w:tc>
          <w:p>
            <w:pPr/>
            <w:r>
              <w:rPr/>
              <w:t xml:space="preserve">[уточнить]</w:t>
            </w:r>
          </w:p>
        </w:tc>
        <w:tc>
          <w:p>
            <w:pPr/>
            <w:r>
              <w:rPr/>
              <w:t xml:space="preserve">____________</w:t>
            </w:r>
          </w:p>
        </w:tc>
        <w:tc>
          <w:p>
            <w:pPr/>
            <w:r>
              <w:rPr/>
              <w:t xml:space="preserve">«___» ______ 20__ г.</w:t>
            </w:r>
          </w:p>
        </w:tc>
      </w:tr>
    </w:tbl>
    <w:p>
      <w:pPr/>
      <w:r>
        <w:rPr/>
        <w:t xml:space="preserve">Примечание — Настоящие поля не являются подтверждёнными сведениями и подлежат заполнению при согласовании.</w:t>
      </w:r>
    </w:p>
    <w:p>
      <w:pPr/>
      <w:r>
        <w:br w:type="page"/>
      </w:r>
    </w:p>
    <w:p>
      <w:pPr>
        <w:pStyle w:val="Heading1"/>
        <w:jc w:val="center"/>
      </w:pPr>
      <w:r>
        <w:rPr/>
        <w:t xml:space="preserve">ПЕРЕЧЕНЬ ОБОЗНАЧЕНИЙ И СОКРАЩЕНИЙ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b/>
              </w:rPr>
              <w:t xml:space="preserve">Обозначение</w:t>
            </w:r>
          </w:p>
        </w:tc>
        <w:tc>
          <w:p>
            <w:pPr/>
            <w:r>
              <w:rPr>
                <w:b/>
              </w:rPr>
              <w:t xml:space="preserve">Расшифровка</w:t>
            </w:r>
          </w:p>
        </w:tc>
      </w:tr>
      <w:tr>
        <w:tc>
          <w:p>
            <w:pPr/>
            <w:r>
              <w:rPr/>
              <w:t xml:space="preserve">AMC</w:t>
            </w:r>
          </w:p>
        </w:tc>
        <w:tc>
          <w:p>
            <w:pPr/>
            <w:r>
              <w:rPr/>
              <w:t xml:space="preserve">Advanced Mezzanine Card; стандартная конструкция сменной платы.</w:t>
            </w:r>
          </w:p>
        </w:tc>
      </w:tr>
      <w:tr>
        <w:tc>
          <w:p>
            <w:pPr/>
            <w:r>
              <w:rPr/>
              <w:t xml:space="preserve">ПЛИС</w:t>
            </w:r>
          </w:p>
        </w:tc>
        <w:tc>
          <w:p>
            <w:pPr/>
            <w:r>
              <w:rPr/>
              <w:t xml:space="preserve">программируемая логическая интегральная схема.</w:t>
            </w:r>
          </w:p>
        </w:tc>
      </w:tr>
      <w:tr>
        <w:tc>
          <w:p>
            <w:pPr/>
            <w:r>
              <w:rPr/>
              <w:t xml:space="preserve">B2B</w:t>
            </w:r>
          </w:p>
        </w:tc>
        <w:tc>
          <w:p>
            <w:pPr/>
            <w:r>
              <w:rPr/>
              <w:t xml:space="preserve">межплатный соединитель (Board-to-Board).</w:t>
            </w:r>
          </w:p>
        </w:tc>
      </w:tr>
      <w:tr>
        <w:tc>
          <w:p>
            <w:pPr/>
            <w:r>
              <w:rPr/>
              <w:t xml:space="preserve">Board ID</w:t>
            </w:r>
          </w:p>
        </w:tc>
        <w:tc>
          <w:p>
            <w:pPr/>
            <w:r>
              <w:rPr/>
              <w:t xml:space="preserve">идентификатор платы; значение для изделия — 0x03.</w:t>
            </w:r>
          </w:p>
        </w:tc>
      </w:tr>
      <w:tr>
        <w:tc>
          <w:p>
            <w:pPr/>
            <w:r>
              <w:rPr/>
              <w:t xml:space="preserve">MMC</w:t>
            </w:r>
          </w:p>
        </w:tc>
        <w:tc>
          <w:p>
            <w:pPr/>
            <w:r>
              <w:rPr/>
              <w:t xml:space="preserve">Module Management Controller, контроллер управления модулем.</w:t>
            </w:r>
          </w:p>
        </w:tc>
      </w:tr>
      <w:tr>
        <w:tc>
          <w:p>
            <w:pPr/>
            <w:r>
              <w:rPr/>
              <w:t xml:space="preserve">РМО</w:t>
            </w:r>
          </w:p>
        </w:tc>
        <w:tc>
          <w:p>
            <w:pPr/>
            <w:r>
              <w:rPr/>
              <w:t xml:space="preserve">рабочее место оператора.</w:t>
            </w:r>
          </w:p>
        </w:tc>
      </w:tr>
      <w:tr>
        <w:tc>
          <w:p>
            <w:pPr/>
            <w:r>
              <w:rPr/>
              <w:t xml:space="preserve">ОКР</w:t>
            </w:r>
          </w:p>
        </w:tc>
        <w:tc>
          <w:p>
            <w:pPr/>
            <w:r>
              <w:rPr/>
              <w:t xml:space="preserve">опытно-конструкторская работа.</w:t>
            </w:r>
          </w:p>
        </w:tc>
      </w:tr>
      <w:tr>
        <w:tc>
          <w:p>
            <w:pPr/>
            <w:r>
              <w:rPr/>
              <w:t xml:space="preserve">РКД</w:t>
            </w:r>
          </w:p>
        </w:tc>
        <w:tc>
          <w:p>
            <w:pPr/>
            <w:r>
              <w:rPr/>
              <w:t xml:space="preserve">рабочая конструкторская документация.</w:t>
            </w:r>
          </w:p>
        </w:tc>
      </w:tr>
      <w:tr>
        <w:tc>
          <w:p>
            <w:pPr/>
            <w:r>
              <w:rPr/>
              <w:t xml:space="preserve">ПМИ</w:t>
            </w:r>
          </w:p>
        </w:tc>
        <w:tc>
          <w:p>
            <w:pPr/>
            <w:r>
              <w:rPr/>
              <w:t xml:space="preserve">программа и методика испытаний.</w:t>
            </w:r>
          </w:p>
        </w:tc>
      </w:tr>
      <w:tr>
        <w:tc>
          <w:p>
            <w:pPr/>
            <w:r>
              <w:rPr/>
              <w:t xml:space="preserve">PDH</w:t>
            </w:r>
          </w:p>
        </w:tc>
        <w:tc>
          <w:p>
            <w:pPr/>
            <w:r>
              <w:rPr/>
              <w:t xml:space="preserve">плезиохронная цифровая иерархия.</w:t>
            </w:r>
          </w:p>
        </w:tc>
      </w:tr>
      <w:tr>
        <w:tc>
          <w:p>
            <w:pPr/>
            <w:r>
              <w:rPr/>
              <w:t xml:space="preserve">TDM-over-Packet</w:t>
            </w:r>
          </w:p>
        </w:tc>
        <w:tc>
          <w:p>
            <w:pPr/>
            <w:r>
              <w:rPr/>
              <w:t xml:space="preserve">передача потоков с временным разделением по пакетной сети.</w:t>
            </w:r>
          </w:p>
        </w:tc>
      </w:tr>
      <w:tr>
        <w:tc>
          <w:p>
            <w:pPr/>
            <w:r>
              <w:rPr/>
              <w:t xml:space="preserve">LIU</w:t>
            </w:r>
          </w:p>
        </w:tc>
        <w:tc>
          <w:p>
            <w:pPr/>
            <w:r>
              <w:rPr/>
              <w:t xml:space="preserve">Line Interface Unit, линейный интерфейсный узел.</w:t>
            </w:r>
          </w:p>
        </w:tc>
      </w:tr>
      <w:tr>
        <w:tc>
          <w:p>
            <w:pPr/>
            <w:r>
              <w:rPr/>
              <w:t xml:space="preserve">Flash</w:t>
            </w:r>
          </w:p>
        </w:tc>
        <w:tc>
          <w:p>
            <w:pPr/>
            <w:r>
              <w:rPr/>
              <w:t xml:space="preserve">энергонезависимая память базовой платы.</w:t>
            </w:r>
          </w:p>
        </w:tc>
      </w:tr>
      <w:tr>
        <w:tc>
          <w:p>
            <w:pPr/>
            <w:r>
              <w:rPr/>
              <w:t xml:space="preserve">QoS</w:t>
            </w:r>
          </w:p>
        </w:tc>
        <w:tc>
          <w:p>
            <w:pPr/>
            <w:r>
              <w:rPr/>
              <w:t xml:space="preserve">качество обслуживания.</w:t>
            </w:r>
          </w:p>
        </w:tc>
      </w:tr>
      <w:tr>
        <w:tc>
          <w:p>
            <w:pPr/>
            <w:r>
              <w:rPr/>
              <w:t xml:space="preserve">AIS, LOS</w:t>
            </w:r>
          </w:p>
        </w:tc>
        <w:tc>
          <w:p>
            <w:pPr/>
            <w:r>
              <w:rPr/>
              <w:t xml:space="preserve">сигналы аварийной индикации и потери сигнала.</w:t>
            </w:r>
          </w:p>
        </w:tc>
      </w:tr>
      <w:tr>
        <w:tc>
          <w:p>
            <w:pPr/>
            <w:r>
              <w:rPr/>
              <w:t xml:space="preserve">BPV/CV</w:t>
            </w:r>
          </w:p>
        </w:tc>
        <w:tc>
          <w:p>
            <w:pPr/>
            <w:r>
              <w:rPr/>
              <w:t xml:space="preserve">нарушение биполярности / кодовые нарушения HDB3.</w:t>
            </w:r>
          </w:p>
        </w:tc>
      </w:tr>
      <w:tr>
        <w:tc>
          <w:p>
            <w:pPr/>
            <w:r>
              <w:rPr/>
              <w:t xml:space="preserve">ACR/DCR</w:t>
            </w:r>
          </w:p>
        </w:tc>
        <w:tc>
          <w:p>
            <w:pPr/>
            <w:r>
              <w:rPr/>
              <w:t xml:space="preserve">восстановление тактовой частоты / цифровое восстановление тактовой частоты.</w:t>
            </w:r>
          </w:p>
        </w:tc>
      </w:tr>
      <w:tr>
        <w:tc>
          <w:p>
            <w:pPr/>
            <w:r>
              <w:rPr/>
              <w:t xml:space="preserve">DPLL</w:t>
            </w:r>
          </w:p>
        </w:tc>
        <w:tc>
          <w:p>
            <w:pPr/>
            <w:r>
              <w:rPr/>
              <w:t xml:space="preserve">цифровая фазовая автоподстройка частоты.</w:t>
            </w:r>
          </w:p>
        </w:tc>
      </w:tr>
      <w:tr>
        <w:tc>
          <w:p>
            <w:pPr/>
            <w:r>
              <w:rPr/>
              <w:t xml:space="preserve">TCLK, RX_CLK</w:t>
            </w:r>
          </w:p>
        </w:tc>
        <w:tc>
          <w:p>
            <w:pPr/>
            <w:r>
              <w:rPr/>
              <w:t xml:space="preserve">тактовая частота передачи; тактовая частота входного порта.</w:t>
            </w:r>
          </w:p>
        </w:tc>
      </w:tr>
      <w:tr>
        <w:tc>
          <w:p>
            <w:pPr/>
            <w:r>
              <w:rPr/>
              <w:t xml:space="preserve">SAToP, E2oP</w:t>
            </w:r>
          </w:p>
        </w:tc>
        <w:tc>
          <w:p>
            <w:pPr/>
            <w:r>
              <w:rPr/>
              <w:t xml:space="preserve">передача E1/E3 по пакетам; передача E2 по пакетам.</w:t>
            </w:r>
          </w:p>
        </w:tc>
      </w:tr>
      <w:tr>
        <w:tc>
          <w:p>
            <w:pPr/>
            <w:r>
              <w:rPr/>
              <w:t xml:space="preserve">BER</w:t>
            </w:r>
          </w:p>
        </w:tc>
        <w:tc>
          <w:p>
            <w:pPr/>
            <w:r>
              <w:rPr/>
              <w:t xml:space="preserve">коэффициент ошибок по битам.</w:t>
            </w:r>
          </w:p>
        </w:tc>
      </w:tr>
      <w:tr>
        <w:tc>
          <w:p>
            <w:pPr/>
            <w:r>
              <w:rPr/>
              <w:t xml:space="preserve">PRBS</w:t>
            </w:r>
          </w:p>
        </w:tc>
        <w:tc>
          <w:p>
            <w:pPr/>
            <w:r>
              <w:rPr/>
              <w:t xml:space="preserve">псевдослучайная двоичная последовательность.</w:t>
            </w:r>
          </w:p>
        </w:tc>
      </w:tr>
      <w:tr>
        <w:tc>
          <w:p>
            <w:pPr/>
            <w:r>
              <w:rPr/>
              <w:t xml:space="preserve">MTBF</w:t>
            </w:r>
          </w:p>
        </w:tc>
        <w:tc>
          <w:p>
            <w:pPr/>
            <w:r>
              <w:rPr/>
              <w:t xml:space="preserve">средняя наработка на отказ.</w:t>
            </w:r>
          </w:p>
        </w:tc>
      </w:tr>
      <w:tr>
        <w:tc>
          <w:p>
            <w:pPr/>
            <w:r>
              <w:rPr/>
              <w:t xml:space="preserve">ESD</w:t>
            </w:r>
          </w:p>
        </w:tc>
        <w:tc>
          <w:p>
            <w:pPr/>
            <w:r>
              <w:rPr/>
              <w:t xml:space="preserve">электростатический разряд.</w:t>
            </w:r>
          </w:p>
        </w:tc>
      </w:tr>
      <w:tr>
        <w:tc>
          <w:p>
            <w:pPr/>
            <w:r>
              <w:rPr/>
              <w:t xml:space="preserve">HDB3</w:t>
            </w:r>
          </w:p>
        </w:tc>
        <w:tc>
          <w:p>
            <w:pPr/>
            <w:r>
              <w:rPr/>
              <w:t xml:space="preserve">линейный код высокой плотности с заменой третьего нуля.</w:t>
            </w:r>
          </w:p>
        </w:tc>
      </w:tr>
    </w:tbl>
    <w:p>
      <w:pPr>
        <w:pStyle w:val="Heading1"/>
        <w:jc w:val="center"/>
      </w:pPr>
      <w:r>
        <w:rPr/>
        <w:t xml:space="preserve">ПЕРЕЧЕНЬ ПРИМЕНИМЫХ НОРМАТИВНЫХ И СПРАВОЧНЫХ ДОКУМЕНТОВ</w:t>
      </w:r>
    </w:p>
    <w:p>
      <w:pPr/>
      <w:r>
        <w:rPr/>
        <w:t xml:space="preserve">При разработке и проверке изделия применять следующие документы в части, относящейся к предмету настоящего ТЗ:</w:t>
      </w:r>
    </w:p>
    <w:p>
      <w:pPr>
        <w:pStyle w:val="ListNumber"/>
      </w:pPr>
      <w:r>
        <w:rPr/>
        <w:t xml:space="preserve">ГОСТ 15.016-2016. Система разработки и постановки продукции на производство. Техническое задание. Требования к содержанию и оформлению.</w:t>
      </w:r>
    </w:p>
    <w:p>
      <w:pPr>
        <w:pStyle w:val="ListNumber"/>
      </w:pPr>
      <w:r>
        <w:rPr/>
        <w:t xml:space="preserve">ITU-T G.703 — электрические характеристики иерархических цифровых интерфейсов.</w:t>
      </w:r>
    </w:p>
    <w:p>
      <w:pPr>
        <w:pStyle w:val="ListNumber"/>
      </w:pPr>
      <w:r>
        <w:rPr/>
        <w:t xml:space="preserve">ITU-T G.704 — структуры синхронных кадров, используемые на первичных иерархических уровнях.</w:t>
      </w:r>
    </w:p>
    <w:p>
      <w:pPr>
        <w:pStyle w:val="ListNumber"/>
      </w:pPr>
      <w:r>
        <w:rPr/>
        <w:t xml:space="preserve">ITU-T G.751 — характеристики цифровых трактов третьего порядка.</w:t>
      </w:r>
    </w:p>
    <w:p>
      <w:pPr>
        <w:pStyle w:val="ListNumber"/>
      </w:pPr>
      <w:r>
        <w:rPr/>
        <w:t xml:space="preserve">ITU-T G.823 — контроль джиттера и вандера в цифровых сетях.</w:t>
      </w:r>
    </w:p>
    <w:p>
      <w:pPr>
        <w:pStyle w:val="ListNumber"/>
      </w:pPr>
      <w:r>
        <w:rPr/>
        <w:t xml:space="preserve">RFC 4553 — SAToP.</w:t>
      </w:r>
    </w:p>
    <w:p>
      <w:pPr>
        <w:pStyle w:val="ListNumber"/>
      </w:pPr>
      <w:r>
        <w:rPr/>
        <w:t xml:space="preserve">PICMG AMC.0 R2.0.</w:t>
      </w:r>
    </w:p>
    <w:p>
      <w:pPr>
        <w:pStyle w:val="ListNumber"/>
      </w:pPr>
      <w:r>
        <w:rPr/>
        <w:t xml:space="preserve">ГОСТ РВ 20.39.304-98.</w:t>
      </w:r>
    </w:p>
    <w:p>
      <w:pPr>
        <w:pStyle w:val="ListNumber"/>
      </w:pPr>
      <w:r>
        <w:rPr/>
        <w:t xml:space="preserve">ГОСТ В 25803-91.</w:t>
      </w:r>
    </w:p>
    <w:p>
      <w:pPr>
        <w:pStyle w:val="ListNumber"/>
      </w:pPr>
      <w:r>
        <w:rPr/>
        <w:t xml:space="preserve">ГОСТ 2.114-2016.</w:t>
      </w:r>
    </w:p>
    <w:p>
      <w:pPr>
        <w:pStyle w:val="ListNumber"/>
      </w:pPr>
      <w:r>
        <w:rPr/>
        <w:t xml:space="preserve">ГОСТ РВ 15.201-2003.</w:t>
      </w:r>
    </w:p>
    <w:p>
      <w:pPr>
        <w:pStyle w:val="ListNumber"/>
      </w:pPr>
      <w:r>
        <w:rPr/>
        <w:t xml:space="preserve">ГОСТ 15150.</w:t>
      </w:r>
    </w:p>
    <w:p>
      <w:pPr/>
      <w:r>
        <w:rPr/>
        <w:t xml:space="preserve">
</w:t>
      </w:r>
      <w:r>
        <w:rPr/>
        <w:t xml:space="preserve">
</w:t>
      </w:r>
    </w:p>
    <w:p>
      <w:pPr/>
      <w:r>
        <w:rPr/>
        <w:t xml:space="preserve">Обозначения редакций и даты введения документов, если они необходимы для выпуска РКД и ПМИ, — [уточнить].</w:t>
      </w:r>
    </w:p>
    <w:p>
      <w:pPr/>
      <w:r>
        <w:br w:type="page"/>
      </w:r>
    </w:p>
    <w:p>
      <w:pPr>
        <w:pStyle w:val="Heading1"/>
        <w:jc w:val="center"/>
      </w:pPr>
      <w:r>
        <w:rPr/>
        <w:t xml:space="preserve">1 Наименование, шифр, основание, исполнители и сроки ОКР</w:t>
      </w:r>
    </w:p>
    <w:p>
      <w:pPr/>
      <w:r>
        <w:rPr>
          <w:b/>
        </w:rPr>
        <w:t xml:space="preserve">1.1</w:t>
      </w:r>
      <w:r>
        <w:rPr/>
        <w:t xml:space="preserve"> Наименование составной части ОКР: «Сменная интерфейсная субплата E2/E3 и функциональный модуль PDH для универсального базового модуля AMC семейства ДММП».</w:t>
      </w:r>
    </w:p>
    <w:p>
      <w:pPr/>
      <w:r>
        <w:rPr>
          <w:b/>
        </w:rPr>
        <w:t xml:space="preserve">1.2</w:t>
      </w:r>
      <w:r>
        <w:rPr/>
        <w:t xml:space="preserve"> Шифр ОКР — «Развитие-ТСА».</w:t>
      </w:r>
    </w:p>
    <w:p>
      <w:pPr/>
      <w:r>
        <w:rPr>
          <w:b/>
        </w:rPr>
        <w:t xml:space="preserve">1.3</w:t>
      </w:r>
      <w:r>
        <w:rPr/>
        <w:t xml:space="preserve"> Основание — приказ об открытии инициативной ОКР № </w:t>
      </w:r>
      <w:r>
        <w:rPr>
          <w:b/>
        </w:rPr>
        <w:t xml:space="preserve">[уточнить]</w:t>
      </w:r>
      <w:r>
        <w:rPr/>
        <w:t xml:space="preserve"> от </w:t>
      </w:r>
      <w:r>
        <w:rPr>
          <w:b/>
        </w:rPr>
        <w:t xml:space="preserve">[уточнить]</w:t>
      </w:r>
      <w:r>
        <w:rPr/>
        <w:t xml:space="preserve">.</w:t>
      </w:r>
    </w:p>
    <w:p>
      <w:pPr/>
      <w:r>
        <w:rPr>
          <w:b/>
        </w:rPr>
        <w:t xml:space="preserve">1.4</w:t>
      </w:r>
      <w:r>
        <w:rPr/>
        <w:t xml:space="preserve"> Исполнитель — ООО «тушканчик» (условное наименование из исходных данных).</w:t>
      </w:r>
    </w:p>
    <w:p>
      <w:pPr/>
      <w:r>
        <w:rPr>
          <w:b/>
        </w:rPr>
        <w:t xml:space="preserve">1.5</w:t>
      </w:r>
      <w:r>
        <w:rPr/>
        <w:t xml:space="preserve"> Сроки выполнения устанавливаются утверждённым планом-графиком разработки РКД, программной документации, изготовления образцов и испытаний; календарные даты — </w:t>
      </w:r>
      <w:r>
        <w:rPr>
          <w:b/>
        </w:rPr>
        <w:t xml:space="preserve">[уточнить]</w:t>
      </w:r>
      <w:r>
        <w:rPr/>
        <w:t xml:space="preserve">.</w:t>
      </w:r>
    </w:p>
    <w:p>
      <w:pPr/>
      <w:r>
        <w:rPr>
          <w:b/>
        </w:rPr>
        <w:t xml:space="preserve">1.6 Проверка:</w:t>
      </w:r>
      <w:r>
        <w:rPr/>
        <w:t xml:space="preserve"> по документам — наличие основания, исполнителя и утверждённого плана-графика с указанными датами и этапами.</w:t>
      </w:r>
    </w:p>
    <w:p>
      <w:pPr>
        <w:pStyle w:val="Heading1"/>
        <w:jc w:val="center"/>
      </w:pPr>
      <w:r>
        <w:rPr/>
        <w:t xml:space="preserve">2 Цель выполнения, наименование, назначение и область применения изделия</w:t>
      </w:r>
    </w:p>
    <w:p>
      <w:pPr/>
      <w:r>
        <w:rPr>
          <w:b/>
        </w:rPr>
        <w:t xml:space="preserve">2.1</w:t>
      </w:r>
      <w:r>
        <w:rPr/>
        <w:t xml:space="preserve"> Цель — разработать сменную интерфейсную субплату E2/E3 и функциональный модуль PDH для универсального базового модуля AMC семейства ДММП.</w:t>
      </w:r>
    </w:p>
    <w:p>
      <w:pPr/>
      <w:r>
        <w:rPr>
          <w:b/>
        </w:rPr>
        <w:t xml:space="preserve">2.2</w:t>
      </w:r>
      <w:r>
        <w:rPr/>
        <w:t xml:space="preserve"> Изделие предназначено для подключения двух независимых потоков E2 и одного потока E3 к платформе ДММП через коаксиальные линии 75 Ом, реализации TDM-over-Packet, джиттер-буферизации и синхронизации.</w:t>
      </w:r>
    </w:p>
    <w:p>
      <w:pPr/>
      <w:r>
        <w:rPr>
          <w:b/>
        </w:rPr>
        <w:t xml:space="preserve">2.3</w:t>
      </w:r>
      <w:r>
        <w:rPr/>
        <w:t xml:space="preserve"> Применение — PDH-тракты 8 и 34 Мбит/с энергетики, железнодорожного транспорта и магистральных операторов.</w:t>
      </w:r>
    </w:p>
    <w:p>
      <w:pPr/>
      <w:r>
        <w:rPr>
          <w:b/>
        </w:rPr>
        <w:t xml:space="preserve">2.4</w:t>
      </w:r>
      <w:r>
        <w:rPr/>
        <w:t xml:space="preserve"> Аппаратная часть включает субплату, интерфейсы, защиту, трансиверы и EEPROM. Логическая часть включает функциональный модуль ПЛИС базовой платы, автоматически активируемый по Board ID. AMC устанавливается на Carrier платформы ДММП.</w:t>
      </w:r>
    </w:p>
    <w:p>
      <w:pPr/>
      <w:r>
        <w:rPr>
          <w:b/>
        </w:rPr>
        <w:t xml:space="preserve">2.5 Проверка:</w:t>
      </w:r>
      <w:r>
        <w:rPr/>
        <w:t xml:space="preserve"> осмотр состава и установка на Carrier; при Board ID </w:t>
      </w:r>
      <w:r>
        <w:rPr/>
        <w:t xml:space="preserve">0x03</w:t>
      </w:r>
      <w:r>
        <w:rPr/>
        <w:t xml:space="preserve"> наблюдать автоматическую активацию функционального модуля ПЛИС. Конкретный порядок загрузки и критерии индикации — [уточнить].</w:t>
      </w:r>
    </w:p>
    <w:p>
      <w:pPr>
        <w:pStyle w:val="Heading1"/>
        <w:jc w:val="center"/>
      </w:pPr>
      <w:r>
        <w:rPr/>
        <w:t xml:space="preserve">3 Технические требования к изделию</w:t>
      </w:r>
    </w:p>
    <w:p>
      <w:pPr>
        <w:pStyle w:val="Heading2"/>
      </w:pPr>
      <w:r>
        <w:rPr/>
        <w:t xml:space="preserve">3.1 Архитектура, разъёмы и кабели</w:t>
      </w:r>
    </w:p>
    <w:p>
      <w:pPr/>
      <w:r>
        <w:rPr>
          <w:b/>
        </w:rPr>
        <w:t xml:space="preserve">3.1.1</w:t>
      </w:r>
      <w:r>
        <w:rPr/>
        <w:t xml:space="preserve"> Субплата должна подключаться через B2B и иметь три экранированных вибростойких соединителя HARTING PushPull 09452812560 с замковой фиксацией. Тракты — 75 Ом. Предусмотреть ВЧ-трансформаторы, LIU, EEPROM с Board ID </w:t>
      </w:r>
      <w:r>
        <w:rPr/>
        <w:t xml:space="preserve">0x03</w:t>
      </w:r>
      <w:r>
        <w:rPr/>
        <w:t xml:space="preserve"> и светодиоды.</w:t>
      </w:r>
    </w:p>
    <w:p>
      <w:pPr/>
      <w:r>
        <w:rPr>
          <w:b/>
        </w:rPr>
        <w:t xml:space="preserve">3.1.2</w:t>
      </w:r>
      <w:r>
        <w:rPr/>
        <w:t xml:space="preserve"> Базовая плата предоставляет +12 В, +3,3 В, MMC и тактирование, а также автоматически загружает bitstream PDH из Flash.</w:t>
      </w:r>
    </w:p>
    <w:p>
      <w:pPr/>
      <w:r>
        <w:rPr>
          <w:b/>
        </w:rPr>
        <w:t xml:space="preserve">3.1.3</w:t>
      </w:r>
      <w:r>
        <w:rPr/>
        <w:t xml:space="preserve"> Порты E2-1, E2-2 и E3-1 должны обслуживать отдельные TX/RX коаксиальные цепи 75 Ом; каждый разъём обслуживает свой порт.</w:t>
      </w:r>
    </w:p>
    <w:p>
      <w:pPr/>
      <w:r>
        <w:rPr>
          <w:b/>
        </w:rPr>
        <w:t xml:space="preserve">3.1.4</w:t>
      </w:r>
      <w:r>
        <w:rPr/>
        <w:t xml:space="preserve"> В комплект и РКД включить экранированные адаптеры HARTING PushPull → две вилки BNC 75 Ом / DIN 1.0/2.3 с маркировкой TX/RX. Применение BNC 50 Ом запрещено по импедансу и габаритам.</w:t>
      </w:r>
    </w:p>
    <w:p>
      <w:pPr/>
      <w:r>
        <w:rPr>
          <w:b/>
        </w:rPr>
        <w:t xml:space="preserve">3.1.5 Проверка:</w:t>
      </w:r>
      <w:r>
        <w:rPr/>
        <w:t xml:space="preserve"> осмотр, проверка маркировки и прозвонка/измерение цепей: наличие трёх соединителей, раздельных TX/RX, адаптеров и Board ID; измерением подтвердить 75 Ом. Результат — соответствие перечисленному составу без BNC 50 Ом.</w:t>
      </w:r>
    </w:p>
    <w:p>
      <w:pPr>
        <w:pStyle w:val="Heading2"/>
      </w:pPr>
      <w:r>
        <w:rPr/>
        <w:t xml:space="preserve">3.2 Электрические параметры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b/>
              </w:rPr>
              <w:t xml:space="preserve">Параметр</w:t>
            </w:r>
          </w:p>
        </w:tc>
        <w:tc>
          <w:p>
            <w:pPr/>
            <w:r>
              <w:rPr>
                <w:b/>
              </w:rPr>
              <w:t xml:space="preserve">E2 (два порта)</w:t>
            </w:r>
          </w:p>
        </w:tc>
        <w:tc>
          <w:p>
            <w:pPr/>
            <w:r>
              <w:rPr>
                <w:b/>
              </w:rPr>
              <w:t xml:space="preserve">E3 (один порт)</w:t>
            </w:r>
          </w:p>
        </w:tc>
      </w:tr>
      <w:tr>
        <w:tc>
          <w:p>
            <w:pPr/>
            <w:r>
              <w:rPr/>
              <w:t xml:space="preserve">Скорость</w:t>
            </w:r>
          </w:p>
        </w:tc>
        <w:tc>
          <w:p>
            <w:pPr/>
            <w:r>
              <w:rPr/>
              <w:t xml:space="preserve">8448 кбит/с (8,448 Мбит/с) ±30 ppm</w:t>
            </w:r>
          </w:p>
        </w:tc>
        <w:tc>
          <w:p>
            <w:pPr/>
            <w:r>
              <w:rPr/>
              <w:t xml:space="preserve">34 368 кбит/с (34,368 Мбит/с) ±20 ppm</w:t>
            </w:r>
          </w:p>
        </w:tc>
      </w:tr>
      <w:tr>
        <w:tc>
          <w:p>
            <w:pPr/>
            <w:r>
              <w:rPr/>
              <w:t xml:space="preserve">Код и сопротивление</w:t>
            </w:r>
          </w:p>
        </w:tc>
        <w:tc>
          <w:p>
            <w:pPr/>
            <w:r>
              <w:rPr/>
              <w:t xml:space="preserve">HDB3, 75 Ом</w:t>
            </w:r>
          </w:p>
        </w:tc>
        <w:tc>
          <w:p>
            <w:pPr/>
            <w:r>
              <w:rPr/>
              <w:t xml:space="preserve">HDB3, 75 Ом</w:t>
            </w:r>
          </w:p>
        </w:tc>
      </w:tr>
      <w:tr>
        <w:tc>
          <w:p>
            <w:pPr/>
            <w:r>
              <w:rPr/>
              <w:t xml:space="preserve">Пиковое напряжение / длительность</w:t>
            </w:r>
          </w:p>
        </w:tc>
        <w:tc>
          <w:p>
            <w:pPr/>
            <w:r>
              <w:rPr/>
              <w:t xml:space="preserve">2,37 В / 59 нс</w:t>
            </w:r>
          </w:p>
        </w:tc>
        <w:tc>
          <w:p>
            <w:pPr/>
            <w:r>
              <w:rPr/>
              <w:t xml:space="preserve">1,0 В / 14,55 нс</w:t>
            </w:r>
          </w:p>
        </w:tc>
      </w:tr>
      <w:tr>
        <w:tc>
          <w:p>
            <w:pPr/>
            <w:r>
              <w:rPr/>
              <w:t xml:space="preserve">Возвратные потери входа/выхода</w:t>
            </w:r>
          </w:p>
        </w:tc>
        <w:tc>
          <w:p>
            <w:pPr/>
            <w:r>
              <w:rPr/>
              <w:t xml:space="preserve">≥18 дБ, 422–8448 кГц</w:t>
            </w:r>
          </w:p>
        </w:tc>
        <w:tc>
          <w:p>
            <w:pPr/>
            <w:r>
              <w:rPr/>
              <w:t xml:space="preserve">≥18 дБ, 1720–34 368 кГц</w:t>
            </w:r>
          </w:p>
        </w:tc>
      </w:tr>
      <w:tr>
        <w:tc>
          <w:p>
            <w:pPr/>
            <w:r>
              <w:rPr/>
              <w:t xml:space="preserve">Допустимое затухание кабеля</w:t>
            </w:r>
          </w:p>
        </w:tc>
        <w:tc>
          <w:p>
            <w:pPr/>
            <w:r>
              <w:rPr/>
              <w:t xml:space="preserve">до 6 дБ на 4224 кГц</w:t>
            </w:r>
          </w:p>
        </w:tc>
        <w:tc>
          <w:p>
            <w:pPr/>
            <w:r>
              <w:rPr/>
              <w:t xml:space="preserve">до 12 дБ на 17 184 кГц</w:t>
            </w:r>
          </w:p>
        </w:tc>
      </w:tr>
    </w:tbl>
    <w:p>
      <w:pPr/>
      <w:r>
        <w:rPr>
          <w:b/>
        </w:rPr>
        <w:t xml:space="preserve">3.2.1</w:t>
      </w:r>
      <w:r>
        <w:rPr/>
        <w:t xml:space="preserve"> Для каждого порта предусмотреть трансформаторную гальваноразвязку и импульсную защиту.</w:t>
      </w:r>
    </w:p>
    <w:p>
      <w:pPr/>
      <w:r>
        <w:rPr>
          <w:b/>
        </w:rPr>
        <w:t xml:space="preserve">3.2.2</w:t>
      </w:r>
      <w:r>
        <w:rPr/>
        <w:t xml:space="preserve"> Структура E2 — по G.704, E3 — по G.751; электрические параметры — по G.703.</w:t>
      </w:r>
    </w:p>
    <w:p>
      <w:pPr/>
      <w:r>
        <w:rPr>
          <w:b/>
        </w:rPr>
        <w:t xml:space="preserve">3.2.3 Проверка:</w:t>
      </w:r>
      <w:r>
        <w:rPr/>
        <w:t xml:space="preserve"> для каждого порта в режимах E2 и E3 измерить скорость, код, сопротивление, пиковое напряжение, длительность импульса, возвратные потери и затухание кабеля; сопоставить результаты с таблицей и указанными документами. Средства измерений и методики — по 5.2 настоящего ТЗ; незаданные допуски и режимы измерения — [уточнить].</w:t>
      </w:r>
    </w:p>
    <w:p>
      <w:pPr>
        <w:pStyle w:val="Heading2"/>
      </w:pPr>
      <w:r>
        <w:rPr/>
        <w:t xml:space="preserve">3.3 Пакетная передача, синхронизация и диагностика</w:t>
      </w:r>
    </w:p>
    <w:p>
      <w:pPr/>
      <w:r>
        <w:rPr>
          <w:b/>
        </w:rPr>
        <w:t xml:space="preserve">3.3.1</w:t>
      </w:r>
      <w:r>
        <w:rPr/>
        <w:t xml:space="preserve"> E3 должен передаваться по SAToP согласно RFC 4553 как полный поток с управляющим словом и контролем последовательности. E2 должен передаваться как E2oP на архитектуре SAToP как полный поток с минимальной фиксированной задержкой.</w:t>
      </w:r>
    </w:p>
    <w:p>
      <w:pPr/>
      <w:r>
        <w:rPr>
          <w:b/>
        </w:rPr>
        <w:t xml:space="preserve">3.3.2</w:t>
      </w:r>
      <w:r>
        <w:rPr/>
        <w:t xml:space="preserve"> Пакетная передача должна использовать Fabric 10GbE и Strict Priority QoS. Для каждого сервиса предусмотреть джиттер-буфер 1–64 мс.</w:t>
      </w:r>
    </w:p>
    <w:p>
      <w:pPr/>
      <w:r>
        <w:rPr>
          <w:b/>
        </w:rPr>
        <w:t xml:space="preserve">3.3.3</w:t>
      </w:r>
      <w:r>
        <w:rPr/>
        <w:t xml:space="preserve"> Потеря пакетов или авария сети должна вызывать непрерывный AIS на выходе.</w:t>
      </w:r>
    </w:p>
    <w:p>
      <w:pPr/>
      <w:r>
        <w:rPr>
          <w:b/>
        </w:rPr>
        <w:t xml:space="preserve">3.3.4</w:t>
      </w:r>
      <w:r>
        <w:rPr/>
        <w:t xml:space="preserve"> Тактирование должно обеспечивать пересчёт TCLK 19,44 МГц в 8,448/34,368 МГц, ACR/DCR, Holdover и Loop timing. Частоту любого входного порта выдавать в RX_CLK; ПЛИС/DPLL базовой платы преобразует её в 19,44 МГц для TCLK. Джиттер и вандер — по G.823.</w:t>
      </w:r>
    </w:p>
    <w:p>
      <w:pPr/>
      <w:r>
        <w:rPr>
          <w:b/>
        </w:rPr>
        <w:t xml:space="preserve">3.3.5</w:t>
      </w:r>
      <w:r>
        <w:rPr/>
        <w:t xml:space="preserve"> Для каждого порта предусмотреть контроль LOS, AIS, BPV/CV HDB3 и переполнения/опустошения буфера.</w:t>
      </w:r>
    </w:p>
    <w:p>
      <w:pPr/>
      <w:r>
        <w:rPr>
          <w:b/>
        </w:rPr>
        <w:t xml:space="preserve">3.3.6</w:t>
      </w:r>
      <w:r>
        <w:rPr/>
        <w:t xml:space="preserve"> Для каждого порта предусмотреть Local Line, Payload и Packet Loopback, а также генератор/анализатор PRBS 2</w:t>
      </w:r>
      <w:r>
        <w:rPr/>
        <w:t xml:space="preserve">23</w:t>
      </w:r>
      <w:r>
        <w:rPr/>
        <w:t xml:space="preserve">−1 для измерения BER.</w:t>
      </w:r>
    </w:p>
    <w:p>
      <w:pPr/>
      <w:r>
        <w:rPr>
          <w:b/>
        </w:rPr>
        <w:t xml:space="preserve">3.3.7</w:t>
      </w:r>
      <w:r>
        <w:rPr/>
        <w:t xml:space="preserve"> Мощность субплаты — не более 15 Вт; мощность сборки — не более 35 Вт.</w:t>
      </w:r>
    </w:p>
    <w:p>
      <w:pPr/>
      <w:r>
        <w:rPr>
          <w:b/>
        </w:rPr>
        <w:t xml:space="preserve">3.3.8</w:t>
      </w:r>
      <w:r>
        <w:rPr/>
        <w:t xml:space="preserve"> Конструкция — Single Full-size AMC.0, габариты 73,5 × 180,6 × 28,95 мм; межплатное крепление — на 4–6 металлических стойках М2,5.</w:t>
      </w:r>
    </w:p>
    <w:p>
      <w:pPr/>
      <w:r>
        <w:rPr>
          <w:b/>
        </w:rPr>
        <w:t xml:space="preserve">3.3.9</w:t>
      </w:r>
      <w:r>
        <w:rPr/>
        <w:t xml:space="preserve"> Стойкость: ГОСТ РВ 20.39.304-98, группы 1.1, 1.3, 1.4.1, исполнение «О»; рабочая температура −10…+50 °C, предельная −40…+65 °C, синусоидальная вибрация 5g, удары 15g. Радиопомехи — группа 1.1.1 ГОСТ В 25803-91.</w:t>
      </w:r>
    </w:p>
    <w:p>
      <w:pPr/>
      <w:r>
        <w:rPr>
          <w:b/>
        </w:rPr>
        <w:t xml:space="preserve">3.3.10</w:t>
      </w:r>
      <w:r>
        <w:rPr/>
        <w:t xml:space="preserve"> MTBF — не менее 15 000 ч; назначенный срок службы — не менее 5 лет.</w:t>
      </w:r>
    </w:p>
    <w:p>
      <w:pPr/>
      <w:r>
        <w:rPr>
          <w:b/>
        </w:rPr>
        <w:t xml:space="preserve">3.3.11 Проверка:</w:t>
      </w:r>
      <w:r>
        <w:rPr/>
        <w:t xml:space="preserve"> в режимах передачи E2/E3, при нормальном входном потоке, при потере пакетов/аварии сети и при включённых Loopback/PRBS проверить формат потока, управляющее слово, последовательность, AIS, LOS/AIS/BPV/CV, состояние буферов, BER, источники тактирования, RX_CLK/TCLK, джиттер/ванде́р, мощность и габариты. Наблюдаемый результат — функции работают согласно 3.3.1–3.3.10; конкретные тестовые воздействия и критерии, не заданные ТЗ, — [уточнить].</w:t>
      </w:r>
    </w:p>
    <w:p>
      <w:pPr>
        <w:pStyle w:val="Heading1"/>
        <w:jc w:val="center"/>
      </w:pPr>
      <w:r>
        <w:rPr/>
        <w:t xml:space="preserve">4 Технико-экономические требования</w:t>
      </w:r>
    </w:p>
    <w:p>
      <w:pPr/>
      <w:r>
        <w:rPr/>
        <w:t xml:space="preserve">Требования не предъявляются.</w:t>
      </w:r>
    </w:p>
    <w:p>
      <w:pPr>
        <w:pStyle w:val="Heading1"/>
        <w:jc w:val="center"/>
      </w:pPr>
      <w:r>
        <w:rPr/>
        <w:t xml:space="preserve">5 Требования к видам обеспечения</w:t>
      </w:r>
    </w:p>
    <w:p>
      <w:pPr>
        <w:pStyle w:val="Heading2"/>
      </w:pPr>
      <w:r>
        <w:rPr/>
        <w:t xml:space="preserve">5.1 Нормативное обеспечение</w:t>
      </w:r>
    </w:p>
    <w:p>
      <w:pPr/>
      <w:r>
        <w:rPr/>
        <w:t xml:space="preserve">Применять документы, перечисленные в перечне нормативных и справочных документов, в относящейся к изделию части.</w:t>
      </w:r>
    </w:p>
    <w:p>
      <w:pPr>
        <w:pStyle w:val="Heading2"/>
      </w:pPr>
      <w:r>
        <w:rPr/>
        <w:t xml:space="preserve">5.2 Метрологическое обеспечение</w:t>
      </w:r>
    </w:p>
    <w:p>
      <w:pPr/>
      <w:r>
        <w:rPr/>
        <w:t xml:space="preserve">Предусмотреть средства и методики измерения формы и амплитуды импульсов по G.703, возвратных потерь 75 Ом, джиттера по G.823 и BER. Допуски, состав средств измерений и детальные методики, не заданные исходными требованиями, — [уточнить].</w:t>
      </w:r>
    </w:p>
    <w:p>
      <w:pPr/>
      <w:r>
        <w:rPr>
          <w:b/>
        </w:rPr>
        <w:t xml:space="preserve">Проверка:</w:t>
      </w:r>
      <w:r>
        <w:rPr/>
        <w:t xml:space="preserve"> анализом РКД и ПМИ подтвердить наличие указанных средств и методик; измерениями получить наблюдаемые значения параметров 3.2 и 3.3.6 без введения дополнительных допусков.</w:t>
      </w:r>
    </w:p>
    <w:p>
      <w:pPr>
        <w:pStyle w:val="Heading2"/>
      </w:pPr>
      <w:r>
        <w:rPr/>
        <w:t xml:space="preserve">5.3 Диагностическое обеспечение</w:t>
      </w:r>
    </w:p>
    <w:p>
      <w:pPr/>
      <w:r>
        <w:rPr/>
        <w:t xml:space="preserve">Обеспечить регистрацию LOS/AIS и BPV, формирование сообщений и отчётов для РМО.</w:t>
      </w:r>
    </w:p>
    <w:p>
      <w:pPr/>
      <w:r>
        <w:rPr>
          <w:b/>
        </w:rPr>
        <w:t xml:space="preserve">Проверка:</w:t>
      </w:r>
      <w:r>
        <w:rPr/>
        <w:t xml:space="preserve"> вызвать состояния потери сигнала, AIS и BPV; наблюдать регистрацию, сообщения и отчёты для РМО.</w:t>
      </w:r>
    </w:p>
    <w:p>
      <w:pPr>
        <w:pStyle w:val="Heading2"/>
      </w:pPr>
      <w:r>
        <w:rPr/>
        <w:t xml:space="preserve">5.4 Программное обеспечение</w:t>
      </w:r>
    </w:p>
    <w:p>
      <w:pPr/>
      <w:r>
        <w:rPr/>
        <w:t xml:space="preserve">Разработать bitstream функционального модуля для Flash базовой платы, драйверы Linux и MIB для РМО.</w:t>
      </w:r>
    </w:p>
    <w:p>
      <w:pPr/>
      <w:r>
        <w:rPr>
          <w:b/>
        </w:rPr>
        <w:t xml:space="preserve">Проверка:</w:t>
      </w:r>
      <w:r>
        <w:rPr/>
        <w:t xml:space="preserve"> анализом комплекта программной документации и запуском на базовой плате подтвердить наличие bitstream, драйверов Linux и MIB; порядок загрузки и перечень объектов MIB — [уточнить].</w:t>
      </w:r>
    </w:p>
    <w:p>
      <w:pPr>
        <w:pStyle w:val="Heading1"/>
        <w:jc w:val="center"/>
      </w:pPr>
      <w:r>
        <w:rPr/>
        <w:t xml:space="preserve">6 Требования к сырью, материалам и комплектующим изделиям</w:t>
      </w:r>
    </w:p>
    <w:p>
      <w:pPr/>
      <w:r>
        <w:rPr>
          <w:b/>
        </w:rPr>
        <w:t xml:space="preserve">6.1</w:t>
      </w:r>
      <w:r>
        <w:rPr/>
        <w:t xml:space="preserve"> Предусмотреть приоритет отечественных материалов и комплектующих с приёмкой ОТК.</w:t>
      </w:r>
    </w:p>
    <w:p>
      <w:pPr/>
      <w:r>
        <w:rPr>
          <w:b/>
        </w:rPr>
        <w:t xml:space="preserve">6.2</w:t>
      </w:r>
      <w:r>
        <w:rPr/>
        <w:t xml:space="preserve"> При отсутствии отечественных аналогов разрешить импортную ЭКБ промышленного температурного диапазона.</w:t>
      </w:r>
    </w:p>
    <w:p>
      <w:pPr/>
      <w:r>
        <w:rPr>
          <w:b/>
        </w:rPr>
        <w:t xml:space="preserve">6.3 Проверка:</w:t>
      </w:r>
      <w:r>
        <w:rPr/>
        <w:t xml:space="preserve"> анализом ведомости применяемых материалов и комплектующих установить происхождение, наличие отечественных аналогов и приёмки ОТК; для импортной ЭКБ подтвердить отсутствие аналога и промышленный температурный диапазон. Метод установления отсутствия аналога — [уточнить].</w:t>
      </w:r>
    </w:p>
    <w:p>
      <w:pPr>
        <w:pStyle w:val="Heading1"/>
        <w:jc w:val="center"/>
      </w:pPr>
      <w:r>
        <w:rPr/>
        <w:t xml:space="preserve">7 Требования к консервации, упаковке и маркировке</w:t>
      </w:r>
    </w:p>
    <w:p>
      <w:pPr/>
      <w:r>
        <w:rPr>
          <w:b/>
        </w:rPr>
        <w:t xml:space="preserve">7.1</w:t>
      </w:r>
      <w:r>
        <w:rPr/>
        <w:t xml:space="preserve"> На изделии предусмотреть децимальный и серийный номера, ревизию и маркировку E2-1, E2-2, E3-1.</w:t>
      </w:r>
    </w:p>
    <w:p>
      <w:pPr/>
      <w:r>
        <w:rPr>
          <w:b/>
        </w:rPr>
        <w:t xml:space="preserve">7.2</w:t>
      </w:r>
      <w:r>
        <w:rPr/>
        <w:t xml:space="preserve"> Применять индивидуальную тару с ESD-защитой.</w:t>
      </w:r>
    </w:p>
    <w:p>
      <w:pPr/>
      <w:r>
        <w:rPr>
          <w:b/>
        </w:rPr>
        <w:t xml:space="preserve">7.3</w:t>
      </w:r>
      <w:r>
        <w:rPr/>
        <w:t xml:space="preserve"> Хранение в заводской таре — не менее 1 года по ГОСТ 15150.</w:t>
      </w:r>
    </w:p>
    <w:p>
      <w:pPr/>
      <w:r>
        <w:rPr>
          <w:b/>
        </w:rPr>
        <w:t xml:space="preserve">7.4</w:t>
      </w:r>
      <w:r>
        <w:rPr/>
        <w:t xml:space="preserve"> Иные условия консервации не устанавливаются настоящим ТЗ.</w:t>
      </w:r>
    </w:p>
    <w:p>
      <w:pPr/>
      <w:r>
        <w:rPr>
          <w:b/>
        </w:rPr>
        <w:t xml:space="preserve">7.5 Проверка:</w:t>
      </w:r>
      <w:r>
        <w:rPr/>
        <w:t xml:space="preserve"> осмотром маркировки и упаковки подтвердить наличие всех обозначений и ESD-защиты; документами на хранение подтвердить срок не менее 1 года по ГОСТ 15150.</w:t>
      </w:r>
    </w:p>
    <w:p>
      <w:pPr>
        <w:pStyle w:val="Heading1"/>
        <w:jc w:val="center"/>
      </w:pPr>
      <w:r>
        <w:rPr/>
        <w:t xml:space="preserve">8 Специальные требования</w:t>
      </w:r>
    </w:p>
    <w:p>
      <w:pPr/>
      <w:r>
        <w:rPr>
          <w:b/>
        </w:rPr>
        <w:t xml:space="preserve">8.1</w:t>
      </w:r>
      <w:r>
        <w:rPr/>
        <w:t xml:space="preserve"> Предусмотреть телеметрию РМО (C++/Qt) с мнемосхемой портов, отображением LOS/AIS и BPV, режимов SAToP/E2oP и источника тактирования.</w:t>
      </w:r>
    </w:p>
    <w:p>
      <w:pPr/>
      <w:r>
        <w:rPr>
          <w:b/>
        </w:rPr>
        <w:t xml:space="preserve">8.2</w:t>
      </w:r>
      <w:r>
        <w:rPr/>
        <w:t xml:space="preserve"> Предусмотреть команды включения/отключения передатчиков, настройки джиттер-буфера, управления петлями и PRBS.</w:t>
      </w:r>
    </w:p>
    <w:p>
      <w:pPr/>
      <w:r>
        <w:rPr>
          <w:b/>
        </w:rPr>
        <w:t xml:space="preserve">8.3 Проверка:</w:t>
      </w:r>
      <w:r>
        <w:rPr/>
        <w:t xml:space="preserve"> на РМО открыть мнемосхему и проверить отображение портов, LOS/AIS, BPV, SAToP/E2oP и источника тактирования; подать команды включения/отключения передатчиков, настройки буфера, петлей и PRBS и наблюдать соответствующее изменение состояния. Формат команд, протокол взаимодействия и состав MIB — [уточнить].</w:t>
      </w:r>
    </w:p>
    <w:p>
      <w:pPr/>
      <w:r>
        <w:br w:type="page"/>
      </w:r>
    </w:p>
    <w:p>
      <w:pPr>
        <w:pStyle w:val="Heading1"/>
        <w:jc w:val="center"/>
      </w:pPr>
      <w:r>
        <w:rPr/>
        <w:t xml:space="preserve">ПОДПИСИ РАЗРАБОТЧИКОВ И СОГЛАСУЮЩИЕ ПОДПИСИ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b/>
              </w:rPr>
              <w:t xml:space="preserve">Роль</w:t>
            </w:r>
          </w:p>
        </w:tc>
        <w:tc>
          <w:p>
            <w:pPr/>
            <w:r>
              <w:rPr>
                <w:b/>
              </w:rPr>
              <w:t xml:space="preserve">ФИО</w:t>
            </w:r>
          </w:p>
        </w:tc>
        <w:tc>
          <w:p>
            <w:pPr/>
            <w:r>
              <w:rPr>
                <w:b/>
              </w:rPr>
              <w:t xml:space="preserve">Подпись</w:t>
            </w:r>
          </w:p>
        </w:tc>
        <w:tc>
          <w:p>
            <w:pPr/>
            <w:r>
              <w:rPr>
                <w:b/>
              </w:rPr>
              <w:t xml:space="preserve">Дата</w:t>
            </w:r>
          </w:p>
        </w:tc>
      </w:tr>
      <w:tr>
        <w:tc>
          <w:p>
            <w:pPr/>
            <w:r>
              <w:rPr/>
              <w:t xml:space="preserve">Разработал</w:t>
            </w:r>
          </w:p>
        </w:tc>
        <w:tc>
          <w:p>
            <w:pPr/>
            <w:r>
              <w:rPr/>
              <w:t xml:space="preserve">[уточнить]</w:t>
            </w:r>
          </w:p>
        </w:tc>
        <w:tc>
          <w:p>
            <w:pPr/>
            <w:r>
              <w:rPr/>
              <w:t xml:space="preserve">____________</w:t>
            </w:r>
          </w:p>
        </w:tc>
        <w:tc>
          <w:p>
            <w:pPr/>
            <w:r>
              <w:rPr/>
              <w:t xml:space="preserve">«___» ______ 20__ г.</w:t>
            </w:r>
          </w:p>
        </w:tc>
      </w:tr>
      <w:tr>
        <w:tc>
          <w:p>
            <w:pPr/>
            <w:r>
              <w:rPr/>
              <w:t xml:space="preserve">Проверил</w:t>
            </w:r>
          </w:p>
        </w:tc>
        <w:tc>
          <w:p>
            <w:pPr/>
            <w:r>
              <w:rPr/>
              <w:t xml:space="preserve">[уточнить]</w:t>
            </w:r>
          </w:p>
        </w:tc>
        <w:tc>
          <w:p>
            <w:pPr/>
            <w:r>
              <w:rPr/>
              <w:t xml:space="preserve">____________</w:t>
            </w:r>
          </w:p>
        </w:tc>
        <w:tc>
          <w:p>
            <w:pPr/>
            <w:r>
              <w:rPr/>
              <w:t xml:space="preserve">«___» ______ 20__ г.</w:t>
            </w:r>
          </w:p>
        </w:tc>
      </w:tr>
      <w:tr>
        <w:tc>
          <w:p>
            <w:pPr/>
            <w:r>
              <w:rPr/>
              <w:t xml:space="preserve">Согласовал</w:t>
            </w:r>
          </w:p>
        </w:tc>
        <w:tc>
          <w:p>
            <w:pPr/>
            <w:r>
              <w:rPr/>
              <w:t xml:space="preserve">[уточнить]</w:t>
            </w:r>
          </w:p>
        </w:tc>
        <w:tc>
          <w:p>
            <w:pPr/>
            <w:r>
              <w:rPr/>
              <w:t xml:space="preserve">____________</w:t>
            </w:r>
          </w:p>
        </w:tc>
        <w:tc>
          <w:p>
            <w:pPr/>
            <w:r>
              <w:rPr/>
              <w:t xml:space="preserve">«___» ______ 20__ г.</w:t>
            </w:r>
          </w:p>
        </w:tc>
      </w:tr>
    </w:tbl>
    <w:sectPr>
      <w:pgSz w:w="11906" w:h="16838"/>
      <w:pgMar w:top="1134" w:right="850" w:bottom="850" w:left="1134"/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Техническое задание — «Развитие-ТСА»</w:t>
    </w:r>
  </w:p>
</w:ftr>
</file>

<file path=word/header1.xml><?xml version="1.0" encoding="utf-8"?>
<w:hdr xmlns:w="http://schemas.openxmlformats.org/wordprocessingml/2006/main">
  <w:p>
    <w:pPr>
      <w:jc w:val="right"/>
    </w:pPr>
    <w:r>
      <w:fldChar w:fldCharType="begin"/>
      <w:instrText>PAGE</w:instrText>
      <w:fldChar w:fldCharType="end"/>
    </w:r>
  </w:p>
</w:hdr>
</file>

<file path=word/numbering.xml><?xml version="1.0" encoding="UTF-8"?><w:numbering xmlns:w="http://schemas.openxmlformats.org/wordprocessingml/2006/main"><w:abstractNum w:abstractNumId="0"><w:lvl w:ilvl="0"><w:numFmt w:val="bullet"/><w:lvlText w:val="•"/></w:lvl></w:abstractNum><w:num w:numId="1"><w:abstractNumId w:val="0"/></w:num></w:num><w:abstractNum w:abstractNumId="1"><w:lvl w:ilvl="0"><w:numFmt w:val="decimal"/><w:lvlText w:val="%1."/></w:lvl></w:abstractNum><w:num w:numId="2"><w:abstractNumId w:val="1"/></w:num></w:numbering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</w:docDefaults>
  <w:style w:type="paragraph" w:styleId="Normal">
    <w:name w:val="Normal"/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</w:rPr>
  </w:style>
  <w:style w:type="paragraph" w:styleId="ListBullet">
    <w:pPr>
      <w:numPr>
        <w:ilvl w:val="0"/>
        <w:numId w:val="1"/>
      </w:numPr>
    </w:pPr>
  </w:style>
  <w:style w:type="paragraph" w:styleId="ListNumber">
    <w:pPr>
      <w:numPr>
        <w:ilvl w:val="0"/>
        <w:numId w:val="2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