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jc w:val="left"/>
            </w:pPr>
            <w:r>
              <w:t xml:space="preserve">СОГЛАСОВАНО</w:t>
            </w:r>
            <w:r>
              <w:br/>
              <w:t xml:space="preserve">[должность, заказчик (НИО заказчика)]</w:t>
            </w:r>
            <w:r>
              <w:br/>
              <w:t xml:space="preserve"/>
            </w:r>
            <w:r>
              <w:br/>
              <w:t xml:space="preserve">__________ [ФИО]</w:t>
            </w:r>
            <w:r>
              <w:br/>
              <w:t xml:space="preserve">«___» ________ [год] г.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СОГЛАСОВАНО</w:t>
            </w:r>
            <w:r>
              <w:br/>
              <w:t xml:space="preserve">[должность, исполнитель СЧ ОКР]</w:t>
            </w:r>
            <w:r>
              <w:br/>
              <w:t xml:space="preserve"/>
            </w:r>
            <w:r>
              <w:br/>
              <w:t xml:space="preserve">__________ [ФИО]</w:t>
            </w:r>
            <w:r>
              <w:br/>
              <w:t xml:space="preserve">«___» ________ [год] г.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УТВЕРЖДАЮ</w:t>
            </w:r>
            <w:r>
              <w:br/>
              <w:t xml:space="preserve">[должность, головной исполнитель ОКР]</w:t>
            </w:r>
            <w:r>
              <w:br/>
              <w:t xml:space="preserve"/>
            </w:r>
            <w:r>
              <w:br/>
              <w:t xml:space="preserve">__________ [ФИО]</w:t>
            </w:r>
            <w:r>
              <w:br/>
              <w:t xml:space="preserve">«___» ________ [год] г.</w:t>
            </w:r>
          </w:p>
        </w:tc>
      </w:tr>
    </w:tbl>
    <w:p>
      <w:pPr/>
    </w:p>
    <w:p>
      <w:pPr/>
    </w:p>
    <w:p>
      <w:pPr/>
    </w:p>
    <w:p>
      <w:pPr/>
    </w:p>
    <w:p>
      <w:pPr>
        <w:pStyle w:val="Title"/>
        <w:jc w:val="center"/>
      </w:pPr>
      <w:r>
        <w:t xml:space="preserve">ТЕХНИЧЕСКОЕ ЗАДАНИЕ</w:t>
      </w:r>
    </w:p>
    <w:p>
      <w:pPr>
        <w:pStyle w:val="Title"/>
        <w:jc w:val="center"/>
      </w:pPr>
      <w:r>
        <w:t xml:space="preserve">НА СОСТАВНУЮ ЧАСТЬ ОПЫТНО-КОНСТРУКТОРСКОЙ РАБОТЫ</w:t>
      </w:r>
    </w:p>
    <w:p>
      <w:pPr>
        <w:pStyle w:val="BodyText"/>
        <w:jc w:val="center"/>
      </w:pPr>
      <w:r>
        <w:t xml:space="preserve">«Разработка сменной интерфейсной субплаты E2/E3</w:t>
      </w:r>
      <w:r>
        <w:br/>
      </w:r>
      <w:r>
        <w:t xml:space="preserve">и функционального модуля PDH для универсального базового модуля AMC семейства ДММП»</w:t>
      </w:r>
    </w:p>
    <w:p>
      <w:pPr>
        <w:pStyle w:val="BodyText"/>
        <w:jc w:val="center"/>
      </w:pPr>
      <w:r>
        <w:t xml:space="preserve">Шифр ОКР «Развитие-ТСА»</w:t>
      </w:r>
    </w:p>
    <w:p>
      <w:pPr>
        <w:pStyle w:val="BodyText"/>
        <w:jc w:val="center"/>
      </w:pPr>
      <w:r>
        <w:t xml:space="preserve">Обозначение составной части изделия: [уточнить]</w:t>
      </w:r>
    </w:p>
    <w:p>
      <w:pPr>
        <w:pStyle w:val="BodyText"/>
        <w:jc w:val="center"/>
      </w:pPr>
      <w:r>
        <w:t xml:space="preserve">[место составления — уточнить]</w:t>
      </w:r>
    </w:p>
    <w:p>
      <w:pPr>
        <w:pStyle w:val="BodyText"/>
        <w:jc w:val="center"/>
      </w:pPr>
      <w:r>
        <w:t xml:space="preserve">[год — уточнить]</w:t>
      </w:r>
    </w:p>
    <w:p>
      <w:pPr>
        <w:pStyle w:val="Heading1"/>
        <w:pageBreakBefore/>
      </w:pPr>
      <w:r>
        <w:t xml:space="preserve">ЛИСТ СОГЛАСОВАНИЯ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Организация, должность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Подпись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Инициалы, фамилия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Заказчик (НИО заказчика): 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__________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Головной исполнитель ОКР: 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__________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Исполнитель СЧ ОКР — ООО «тушканчик»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__________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Другие согласующие организации (при наличии): 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__________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</w:tr>
    </w:tbl>
    <w:p>
      <w:pPr>
        <w:pStyle w:val="Heading1"/>
        <w:pageBreakBefore/>
      </w:pPr>
      <w:r>
        <w:t xml:space="preserve">ПЕРЕЧЕНЬ ОБОЗНАЧЕНИЙ И СОКРАЩЕНИЙ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Обозначение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Расшифровка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ACR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Adaptive Clock Recovery — адаптивное восстановление тактовой частоты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AIS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Alarm Indication Signal — сигнал индикации аварии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AMC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Advanced Mezzanine Card — модуль формата AdvancedMC, устанавливаемый на Carrier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B2B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Board-to-Board — межплатный интерфейс/соединение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BER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Bit Error Rate — коэффициент битовых ошибок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BNC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тип коаксиального радиочастотного соединителя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Board ID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идентификатор установленной субплаты, хранимый в EEPROM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BPV/CV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Bipolar Violation / Code Violation — нарушение биполярности / нарушение кода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DCR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Differential Clock Recovery — дифференциальное восстановление тактовой частоты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DPLL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цифровая система фазовой автоподстройки частоты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EEPROM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электрически стираемое программируемое постоянное запоминающее устройство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ESD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Electrostatic Discharge — электростатический разряд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Fabric 10GbE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коммутационный интерфейс Ethernet со скоростью 10 Гбит/с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HDB3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High Density Bipolar of order 3 — линейный код с высокой плотностью единиц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Holdover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режим удержания частоты при утрате опорного сигнала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LIU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Line Interface Unit — устройство линейного интерфейса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Loop timing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режим синхронизации от принимаемого линейного сигнала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LOS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Loss of Signal — потеря сигнала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MIB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Management Information Base — база управляющей информации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MMC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Module Management Controller — контроллер управления модулем AMC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MTBF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Mean Time Between Failures — средняя наработка между отказами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PDH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Plesiochronous Digital Hierarchy — плезиохронная цифровая иерархия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PRBS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Pseudo-Random Binary Sequence — псевдослучайная двоичная последовательность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QoS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Quality of Service — качество обслуживания трафика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RX_CLK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сигнал тактовой частоты выбранного входного порта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SAToP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Structure-Agnostic TDM over Packet — передача полного TDM-потока поверх пакетной сети без учёта структуры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Strict Priority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строгая приоритетная дисциплина обслуживания очередей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TCLK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системный сигнал синхронизации AMC частотой 19,44 МГц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TDM-over-Packet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передача сигналов временного разделения каналов через пакетную сеть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E2oP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передача полного потока E2 через пакетную сеть на архитектуре SAToP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ОКР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опытно-конструкторская работа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ОТК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отдел технического контроля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ПЛИС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программируемая логическая интегральная схема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ПМИ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программа и методика испытаний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РКД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рабочая конструкторская документация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РМО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рабочее место оператора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СЧ ОКР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составная часть опытно-конструкторской работы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ТЗ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техническое задание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ЭКБ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электронная компонентная база</w:t>
            </w:r>
          </w:p>
        </w:tc>
      </w:tr>
    </w:tbl>
    <w:p>
      <w:pPr>
        <w:pStyle w:val="Heading1"/>
        <w:pageBreakBefore/>
      </w:pPr>
      <w:r>
        <w:t xml:space="preserve">ПЕРЕЧЕНЬ ПРИМЕНИМЫХ НОРМАТИВНЫХ И СПРАВОЧНЫХ ДОКУМЕНТОВ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№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Документ и применимость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ГОСТ 15.016-2016 «Система разработки и постановки продукции на производство. Техническое задание. Требования к содержанию и оформлению» — построение и оформление настоящего ТЗ в применимой части разделов 6.1, 6.2 и 7.1.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ITU-T G.703 — электрические параметры цифровых интерфейсов E2 и E3.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ITU-T G.704 — структура потока E2.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ITU-T G.751 — структура потока E3.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ITU-T G.823 — требования к джиттеру и вандеру.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RFC 4553 — передача E3 в режиме SAToP.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PICMG AMC.0 R2.0 — конструктивное исполнение Single Full-size AMC.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ГОСТ РВ 20.39.304-98 — требования стойкости к внешним воздействующим факторам.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ГОСТ В 25803-91 — требования по радиопомехам.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ГОСТ 2.114-2016 — требования к техническим условиям.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ГОСТ РВ 15.201-2003 — порядок разработки и постановки продукции на производство.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ГОСТ 15150 — условия хранения в части, указанной настоящим ТЗ.</w:t>
            </w:r>
          </w:p>
        </w:tc>
      </w:tr>
    </w:tbl>
    <w:p>
      <w:pPr>
        <w:pStyle w:val="Note"/>
        <w:jc w:val="both"/>
      </w:pPr>
      <w:r>
        <w:rPr>
          <w:b/>
        </w:rPr>
        <w:t xml:space="preserve">Примечание.</w:t>
      </w:r>
      <w:r>
        <w:t xml:space="preserve"> Редакции документов ITU-T G.703, G.704, G.751, G.823 и RFC 4553, а также условия применения ГОСТ 15150 в исходных данных не заданы и подлежат уточнению без изменения установленных настоящим ТЗ параметров.</w:t>
      </w:r>
    </w:p>
    <w:p>
      <w:pPr>
        <w:pStyle w:val="Heading1"/>
        <w:pageBreakBefore/>
      </w:pPr>
      <w:r>
        <w:t xml:space="preserve">1 Наименование, шифр ОКР, основание, исполнитель и сроки выполнения ОКР</w:t>
      </w:r>
    </w:p>
    <w:p>
      <w:pPr>
        <w:pStyle w:val="BodyText"/>
        <w:jc w:val="both"/>
      </w:pPr>
      <w:r>
        <w:rPr>
          <w:b/>
        </w:rPr>
        <w:t xml:space="preserve">1.1</w:t>
      </w:r>
      <w:r>
        <w:t xml:space="preserve"> Наименование СЧ ОКР: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pPr>
        <w:pStyle w:val="BodyText"/>
        <w:jc w:val="both"/>
      </w:pPr>
      <w:r>
        <w:rPr>
          <w:b/>
        </w:rPr>
        <w:t xml:space="preserve">1.2</w:t>
      </w:r>
      <w:r>
        <w:t xml:space="preserve"> Шифр ОКР — «Развитие-ТСА». Дополнительный шифр СЧ ОКР — [уточнить].</w:t>
      </w:r>
    </w:p>
    <w:p>
      <w:pPr>
        <w:pStyle w:val="BodyText"/>
        <w:jc w:val="both"/>
      </w:pPr>
      <w:r>
        <w:rPr>
          <w:b/>
        </w:rPr>
        <w:t xml:space="preserve">1.3</w:t>
      </w:r>
      <w:r>
        <w:t xml:space="preserve"> Основание для выполнения работы — приказ об открытии инициативной ОКР № [уточнить] от [уточнить].</w:t>
      </w:r>
    </w:p>
    <w:p>
      <w:pPr>
        <w:pStyle w:val="BodyText"/>
        <w:jc w:val="both"/>
      </w:pPr>
      <w:r>
        <w:rPr>
          <w:b/>
        </w:rPr>
        <w:t xml:space="preserve">1.4</w:t>
      </w:r>
      <w:r>
        <w:t xml:space="preserve"> Исполнитель СЧ ОКР — ООО «тушканчик» (условное наименование из исходных данных). Головной исполнитель ОКР и заказчик (при наличии) — [уточнить].</w:t>
      </w:r>
    </w:p>
    <w:p>
      <w:pPr>
        <w:pStyle w:val="BodyText"/>
        <w:jc w:val="both"/>
      </w:pPr>
      <w:r>
        <w:rPr>
          <w:b/>
        </w:rPr>
        <w:t xml:space="preserve">1.5</w:t>
      </w:r>
      <w:r>
        <w:t xml:space="preserve"> Сроки выполнения СЧ ОКР должны быть связаны с утверждённым планом-графиком разработки РКД и программной документации, изготовления образцов и проведения испытаний. Календарные даты и реквизиты утверждённого плана-графика — [уточнить].</w:t>
      </w:r>
    </w:p>
    <w:p>
      <w:pPr>
        <w:pStyle w:val="Note"/>
        <w:jc w:val="both"/>
      </w:pPr>
      <w:r>
        <w:rPr>
          <w:b/>
        </w:rPr>
        <w:t xml:space="preserve">Подтверждение 1-П.</w:t>
      </w:r>
      <w:r>
        <w:t xml:space="preserve"> Инспекцией реквизитов ТЗ и утверждённого плана-графика подтверждают наличие единого шифра ОКР, основания, исполнителя и взаимосвязанных сроков; до получения исходных данных поля со значением [уточнить] не считаются утверждёнными сведениями.</w:t>
      </w:r>
    </w:p>
    <w:p>
      <w:pPr>
        <w:pStyle w:val="Heading1"/>
      </w:pPr>
      <w:r>
        <w:t xml:space="preserve">2 Цель выполнения, наименование, назначение и область применения изделия</w:t>
      </w:r>
    </w:p>
    <w:p>
      <w:pPr>
        <w:pStyle w:val="BodyText"/>
        <w:jc w:val="both"/>
      </w:pPr>
      <w:r>
        <w:rPr>
          <w:b/>
        </w:rPr>
        <w:t xml:space="preserve">2.1</w:t>
      </w:r>
      <w:r>
        <w:t xml:space="preserve"> Целью СЧ ОКР является создание сменной интерфейсной субплаты E2/E3 и автоматически активируемого функционального модуля PDH для подключения к платформе ДММП двух независимых потоков E2 и одного потока E3 по коаксиальным линиям с обеспечением TDM-over-Packet, джиттер-буферизации и синхронизации.</w:t>
      </w:r>
    </w:p>
    <w:p>
      <w:pPr>
        <w:pStyle w:val="BodyText"/>
        <w:jc w:val="both"/>
      </w:pPr>
      <w:r>
        <w:rPr>
          <w:b/>
        </w:rPr>
        <w:t xml:space="preserve">2.2</w:t>
      </w:r>
      <w:r>
        <w:t xml:space="preserve"> Изделие предназначено для работы в составе универсального базового модуля AMC семейства ДММП, устанавливаемого на Carrier платформы ДММП. Область применения — PDH-тракты 8 и 34 Мбит/с объектов энергетики, железнодорожного транспорта и магистральных операторов.</w:t>
      </w:r>
    </w:p>
    <w:p>
      <w:pPr>
        <w:pStyle w:val="BodyText"/>
        <w:jc w:val="both"/>
      </w:pPr>
      <w:r>
        <w:rPr>
          <w:b/>
        </w:rPr>
        <w:t xml:space="preserve">2.3</w:t>
      </w:r>
      <w:r>
        <w:t xml:space="preserve"> Аппаратная часть изделия должна включать сменную субплату, линейные интерфейсы, импульсную защиту, трансиверы и EEPROM Board ID.</w:t>
      </w:r>
    </w:p>
    <w:p>
      <w:pPr>
        <w:pStyle w:val="BodyText"/>
        <w:jc w:val="both"/>
      </w:pPr>
      <w:r>
        <w:rPr>
          <w:b/>
        </w:rPr>
        <w:t xml:space="preserve">2.4</w:t>
      </w:r>
      <w:r>
        <w:t xml:space="preserve"> Логическая часть изделия должна быть реализована как функциональный модуль ПЛИС базовой платы и автоматически активироваться по Board ID субплаты.</w:t>
      </w:r>
    </w:p>
    <w:p>
      <w:pPr>
        <w:pStyle w:val="Note"/>
        <w:jc w:val="both"/>
      </w:pPr>
      <w:r>
        <w:rPr>
          <w:b/>
        </w:rPr>
        <w:t xml:space="preserve">Подтверждение 2-П.</w:t>
      </w:r>
      <w:r>
        <w:t xml:space="preserve"> При установленной субплате анализом конфигурации и функциональной проверкой подтверждают распознавание Board ID, автоматическую активацию функционального модуля и независимую работу двух потоков E2 и одного потока E3; наблюдаемый результат — наличие трёх соответствующих трактов и функций, установленных разделом 3.</w:t>
      </w:r>
    </w:p>
    <w:p>
      <w:pPr>
        <w:pStyle w:val="Heading1"/>
      </w:pPr>
      <w:r>
        <w:t xml:space="preserve">3 Технические требования к изделию</w:t>
      </w:r>
    </w:p>
    <w:p>
      <w:pPr>
        <w:pStyle w:val="Heading2"/>
      </w:pPr>
      <w:r>
        <w:t xml:space="preserve">3.1 Архитектура, разъёмы и кабели</w:t>
      </w:r>
    </w:p>
    <w:p>
      <w:pPr>
        <w:pStyle w:val="BodyText"/>
        <w:jc w:val="both"/>
      </w:pPr>
      <w:r>
        <w:rPr>
          <w:b/>
        </w:rPr>
        <w:t xml:space="preserve">ТТ-3.1-01.</w:t>
      </w:r>
      <w:r>
        <w:t xml:space="preserve"> Субплата должна подключаться к базовой плате через B2B и содержать три экранированных вибростойких разъёма HARTING PushPull 09452812560 с замковой фиксацией, тракты с волновым сопротивлением 75 Ом, ВЧ-трансформаторы, LIU, EEPROM со значением Board ID 0x03 и светодиодную индикацию.</w:t>
      </w:r>
    </w:p>
    <w:p>
      <w:pPr>
        <w:pStyle w:val="BodyText"/>
        <w:jc w:val="both"/>
      </w:pPr>
      <w:r>
        <w:rPr>
          <w:b/>
        </w:rPr>
        <w:t xml:space="preserve">ТТ-3.1-02.</w:t>
      </w:r>
      <w:r>
        <w:t xml:space="preserve"> Базовая плата должна предоставлять субплате напряжения питания +12 В и +3,3 В, функции MMC и тактирование, а также при обнаружении Board ID 0x03 автоматически загружать из Flash bitstream функционального модуля PDH.</w:t>
      </w:r>
    </w:p>
    <w:p>
      <w:pPr>
        <w:pStyle w:val="BodyText"/>
        <w:jc w:val="both"/>
      </w:pPr>
      <w:r>
        <w:rPr>
          <w:b/>
        </w:rPr>
        <w:t xml:space="preserve">ТТ-3.1-03.</w:t>
      </w:r>
      <w:r>
        <w:t xml:space="preserve"> Разъёмы E2-1, E2-2 и E3-1 должны каждый обслуживать отдельные передающую TX и приёмную RX коаксиальные цепи с волновым сопротивлением 75 Ом.</w:t>
      </w:r>
    </w:p>
    <w:p>
      <w:pPr>
        <w:pStyle w:val="Note"/>
        <w:jc w:val="both"/>
      </w:pPr>
      <w:r>
        <w:rPr>
          <w:b/>
        </w:rPr>
        <w:t xml:space="preserve">ТТ-3.1-04.</w:t>
      </w:r>
      <w:r>
        <w:t xml:space="preserve"> В комплект изделия и РКД должны входить экранированные адаптеры HARTING PushPull → две вилки BNC 75 Ом / DIN 1.0/2.3 с маркировкой TX и RX. Применение BNC 50 Ом запрещается по импедансу и габаритам. Конкретная трактовка варианта соединителей «BNC 75 Ом / DIN 1.0/2.3» для комплектации — [уточнить].</w:t>
      </w:r>
    </w:p>
    <w:p>
      <w:pPr>
        <w:pStyle w:val="Note"/>
        <w:jc w:val="both"/>
      </w:pPr>
      <w:r>
        <w:rPr>
          <w:b/>
        </w:rPr>
        <w:t xml:space="preserve">Подтверждение 3.1-П.</w:t>
      </w:r>
      <w:r>
        <w:t xml:space="preserve"> Инспекцией образца, комплекта и РКД подтверждают тип и количество разъёмов, замковую фиксацию, маркировку, состав цепей, элементы интерфейса, Board ID 0x03 и отсутствие BNC 50 Ом. Подачей питания и установкой субплаты подтверждают предоставление +12 В/+3,3 В, функций MMC и тактирования, а также автоматическую загрузку bitstream PDH из Flash.</w:t>
      </w:r>
    </w:p>
    <w:p>
      <w:pPr>
        <w:pStyle w:val="Heading2"/>
      </w:pPr>
      <w:r>
        <w:t xml:space="preserve">3.2 Электрические параметры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E2 (два порта)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E3 (один порт)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Скорость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8448 кбит/с (8,448 Мбит/с) ±30 ppm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34 368 кбит/с (34,368 Мбит/с) ±20 ppm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Код и сопротивление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HDB3, 75 Ом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HDB3, 75 Ом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Пиковое напряжение / длительность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2,37 В / 59 нс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1,0 В / 14,55 нс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Возвратные потери входа/выхода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≥18 дБ, 422–8448 кГц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≥18 дБ, 1720–34 368 кГц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Допустимое затухание кабеля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до 6 дБ на 4224 кГц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до 12 дБ на 17 184 кГц</w:t>
            </w:r>
          </w:p>
        </w:tc>
      </w:tr>
    </w:tbl>
    <w:p>
      <w:pPr>
        <w:pStyle w:val="BodyText"/>
        <w:jc w:val="both"/>
      </w:pPr>
      <w:r>
        <w:rPr>
          <w:b/>
        </w:rPr>
        <w:t xml:space="preserve">ТТ-3.2-01.</w:t>
      </w:r>
      <w:r>
        <w:t xml:space="preserve"> Каждый порт должен иметь трансформаторную гальваническую развязку и импульсную защиту.</w:t>
      </w:r>
    </w:p>
    <w:p>
      <w:pPr>
        <w:pStyle w:val="BodyText"/>
        <w:jc w:val="both"/>
      </w:pPr>
      <w:r>
        <w:rPr>
          <w:b/>
        </w:rPr>
        <w:t xml:space="preserve">ТТ-3.2-02.</w:t>
      </w:r>
      <w:r>
        <w:t xml:space="preserve"> Структура потока E2 должна соответствовать ITU-T G.704, структура потока E3 — ITU-T G.751, электрические параметры интерфейсов — ITU-T G.703.</w:t>
      </w:r>
    </w:p>
    <w:p>
      <w:pPr>
        <w:pStyle w:val="Note"/>
        <w:jc w:val="both"/>
      </w:pPr>
      <w:r>
        <w:rPr>
          <w:b/>
        </w:rPr>
        <w:t xml:space="preserve">Примечание.</w:t>
      </w:r>
      <w:r>
        <w:t xml:space="preserve"> Пределы допускаемых погрешностей измерения пикового напряжения, длительности импульса, возвратных потерь, затухания и мощности, требуемые для однозначной оценки предельных значений, в исходных данных не заданы — [уточнить] при разработке ПМИ. Это отсутствие не изменяет приведённые номиналы, допуски и пределы.</w:t>
      </w:r>
    </w:p>
    <w:p>
      <w:pPr>
        <w:pStyle w:val="Note"/>
        <w:jc w:val="both"/>
      </w:pPr>
      <w:r>
        <w:rPr>
          <w:b/>
        </w:rPr>
        <w:t xml:space="preserve">Подтверждение 3.2-П.</w:t>
      </w:r>
      <w:r>
        <w:t xml:space="preserve"> Для каждого порта в соответствующем рабочем режиме измерениями подтверждают скорость, пиковое напряжение, длительность импульса, возвратные потери и работу при указанном затухании кабеля; анализом кодирования и структуры — HDB3 и соответствие G.704/G.751; инспекцией и электрической проверкой — сопротивление 75 Ом, гальваническую развязку и импульсную защиту. Методики и пределы погрешности средств измерений — [уточнить] в ПМИ.</w:t>
      </w:r>
    </w:p>
    <w:p>
      <w:pPr>
        <w:pStyle w:val="Heading2"/>
      </w:pPr>
      <w:r>
        <w:t xml:space="preserve">3.3 Пакетная передача и безопасное поведение при отказах</w:t>
      </w:r>
    </w:p>
    <w:p>
      <w:pPr>
        <w:pStyle w:val="BodyText"/>
        <w:jc w:val="both"/>
      </w:pPr>
      <w:r>
        <w:rPr>
          <w:b/>
        </w:rPr>
        <w:t xml:space="preserve">ТТ-3.3-01.</w:t>
      </w:r>
      <w:r>
        <w:t xml:space="preserve"> Для E3 должна быть обеспечена передача SAToP по RFC 4553: полный поток с управляющим словом и контролем последовательности.</w:t>
      </w:r>
    </w:p>
    <w:p>
      <w:pPr>
        <w:pStyle w:val="Note"/>
        <w:jc w:val="both"/>
      </w:pPr>
      <w:r>
        <w:rPr>
          <w:b/>
        </w:rPr>
        <w:t xml:space="preserve">ТТ-3.3-02.</w:t>
      </w:r>
      <w:r>
        <w:t xml:space="preserve"> Для каждого E2 должна быть обеспечена передача E2oP на архитектуре SAToP: полный поток с минимальной фиксированной задержкой. Численное значение минимальной фиксированной задержки в исходных данных не задано — [уточнить].</w:t>
      </w:r>
    </w:p>
    <w:p>
      <w:pPr>
        <w:pStyle w:val="BodyText"/>
        <w:jc w:val="both"/>
      </w:pPr>
      <w:r>
        <w:rPr>
          <w:b/>
        </w:rPr>
        <w:t xml:space="preserve">ТТ-3.3-03.</w:t>
      </w:r>
      <w:r>
        <w:t xml:space="preserve"> Пакетная передача должна использовать Fabric 10GbE и Strict Priority QoS. Джиттер-буфер каждого сервиса должен настраиваться в диапазоне от 1 до 64 мс включительно.</w:t>
      </w:r>
    </w:p>
    <w:p>
      <w:pPr>
        <w:pStyle w:val="Note"/>
        <w:jc w:val="both"/>
      </w:pPr>
      <w:r>
        <w:rPr>
          <w:b/>
        </w:rPr>
        <w:t xml:space="preserve">ТТ-3.3-04.</w:t>
      </w:r>
      <w:r>
        <w:t xml:space="preserve"> При потере пакетов или аварии сети на соответствующем линейном выходе должен непрерывно формироваться AIS. Возврат из этого состояния и критерии фиксации аварии сети — [уточнить].</w:t>
      </w:r>
    </w:p>
    <w:p>
      <w:pPr>
        <w:pStyle w:val="Note"/>
        <w:jc w:val="both"/>
      </w:pPr>
      <w:r>
        <w:rPr>
          <w:b/>
        </w:rPr>
        <w:t xml:space="preserve">Подтверждение 3.3-П.</w:t>
      </w:r>
      <w:r>
        <w:t xml:space="preserve"> В режимах E3 SAToP и E2oP тестом с передачей полного потока подтверждают наличие управляющего слова и контроля последовательности для E3, сохранение полного потока E2, работу через Fabric 10GbE с Strict Priority и установку граничных значений джиттер-буфера 1 и 64 мс. Прерыванием пакетного потока/имитацией аварии сети подтверждают непрерывный AIS на соответствующем выходе. Метод определения «минимальной» задержки — [уточнить] в ПМИ.</w:t>
      </w:r>
    </w:p>
    <w:p>
      <w:pPr>
        <w:pStyle w:val="Heading2"/>
      </w:pPr>
      <w:r>
        <w:t xml:space="preserve">3.4 Синхронизация</w:t>
      </w:r>
    </w:p>
    <w:p>
      <w:pPr>
        <w:pStyle w:val="BodyText"/>
        <w:jc w:val="both"/>
      </w:pPr>
      <w:r>
        <w:rPr>
          <w:b/>
        </w:rPr>
        <w:t xml:space="preserve">ТТ-3.4-01.</w:t>
      </w:r>
      <w:r>
        <w:t xml:space="preserve"> Должен обеспечиваться пересчёт TCLK 19,44 МГц в частоты 8,448 МГц и 34,368 МГц.</w:t>
      </w:r>
    </w:p>
    <w:p>
      <w:pPr>
        <w:pStyle w:val="BodyText"/>
        <w:jc w:val="both"/>
      </w:pPr>
      <w:r>
        <w:rPr>
          <w:b/>
        </w:rPr>
        <w:t xml:space="preserve">ТТ-3.4-02.</w:t>
      </w:r>
      <w:r>
        <w:t xml:space="preserve"> Должны поддерживаться все режимы ACR, DCR, Holdover и Loop timing.</w:t>
      </w:r>
    </w:p>
    <w:p>
      <w:pPr>
        <w:pStyle w:val="BodyText"/>
        <w:jc w:val="both"/>
      </w:pPr>
      <w:r>
        <w:rPr>
          <w:b/>
        </w:rPr>
        <w:t xml:space="preserve">ТТ-3.4-03.</w:t>
      </w:r>
      <w:r>
        <w:t xml:space="preserve"> Частота любого входного порта должна по команде выдаваться в RX_CLK; ПЛИС/DPLL базовой платы должна преобразовывать RX_CLK в 19,44 МГц для TCLK.</w:t>
      </w:r>
    </w:p>
    <w:p>
      <w:pPr>
        <w:pStyle w:val="BodyText"/>
        <w:jc w:val="both"/>
      </w:pPr>
      <w:r>
        <w:rPr>
          <w:b/>
        </w:rPr>
        <w:t xml:space="preserve">ТТ-3.4-04.</w:t>
      </w:r>
      <w:r>
        <w:t xml:space="preserve"> Характеристики джиттера и вандера должны соответствовать ITU-T G.823.</w:t>
      </w:r>
    </w:p>
    <w:p>
      <w:pPr>
        <w:pStyle w:val="Note"/>
        <w:jc w:val="both"/>
      </w:pPr>
      <w:r>
        <w:rPr>
          <w:b/>
        </w:rPr>
        <w:t xml:space="preserve">Подтверждение 3.4-П.</w:t>
      </w:r>
      <w:r>
        <w:t xml:space="preserve"> Для каждого режима ACR, DCR, Holdover и Loop timing измерениями подтверждают формирование требуемых частот. Последовательным выбором каждого из трёх входных портов подтверждают выдачу его частоты в RX_CLK и преобразование ПЛИС/DPLL в TCLK 19,44 МГц. Джиттер и вандер измеряют по ITU-T G.823; конкретная редакция рекомендации и методика — [уточнить] в ПМИ.</w:t>
      </w:r>
    </w:p>
    <w:p>
      <w:pPr>
        <w:pStyle w:val="Heading2"/>
      </w:pPr>
      <w:r>
        <w:t xml:space="preserve">3.5 Диагностика и тестовые режимы</w:t>
      </w:r>
    </w:p>
    <w:p>
      <w:pPr>
        <w:pStyle w:val="BodyText"/>
        <w:jc w:val="both"/>
      </w:pPr>
      <w:r>
        <w:rPr>
          <w:b/>
        </w:rPr>
        <w:t xml:space="preserve">ТТ-3.5-01.</w:t>
      </w:r>
      <w:r>
        <w:t xml:space="preserve"> Для каждого порта должны контролироваться LOS, AIS, BPV/CV HDB3, переполнение и опустошение джиттер-буфера.</w:t>
      </w:r>
    </w:p>
    <w:p>
      <w:pPr>
        <w:pStyle w:val="BodyText"/>
        <w:jc w:val="both"/>
      </w:pPr>
      <w:r>
        <w:rPr>
          <w:b/>
        </w:rPr>
        <w:t xml:space="preserve">ТТ-3.5-02.</w:t>
      </w:r>
      <w:r>
        <w:t xml:space="preserve"> Для каждого порта должны независимо поддерживаться режимы Local Line Loopback, Payload Loopback и Packet Loopback.</w:t>
      </w:r>
    </w:p>
    <w:p>
      <w:pPr>
        <w:pStyle w:val="BodyText"/>
        <w:jc w:val="both"/>
      </w:pPr>
      <w:r>
        <w:rPr>
          <w:b/>
        </w:rPr>
        <w:t xml:space="preserve">ТТ-3.5-03.</w:t>
      </w:r>
      <w:r>
        <w:t xml:space="preserve"> Для каждого порта должны быть предусмотрены генератор и анализатор PRBS 2</w:t>
      </w:r>
      <w:r>
        <w:rPr>
          <w:vertAlign w:val="superscript"/>
        </w:rPr>
        <w:t xml:space="preserve">23</w:t>
      </w:r>
      <w:r>
        <w:t xml:space="preserve">−1 для измерения BER.</w:t>
      </w:r>
    </w:p>
    <w:p>
      <w:pPr>
        <w:pStyle w:val="Note"/>
        <w:jc w:val="both"/>
      </w:pPr>
      <w:r>
        <w:rPr>
          <w:b/>
        </w:rPr>
        <w:t xml:space="preserve">Подтверждение 3.5-П.</w:t>
      </w:r>
      <w:r>
        <w:t xml:space="preserve"> На каждом порте поочерёдно создают соответствующие состояния и включают каждый вид петли; наблюдаемый результат — фиксация LOS/AIS, BPV/CV, переполнения/опустошения и замыкание заданного тракта без подмены другими видами петель. Генератором и анализатором PRBS 2</w:t>
      </w:r>
      <w:r>
        <w:rPr>
          <w:vertAlign w:val="superscript"/>
        </w:rPr>
        <w:t xml:space="preserve">23</w:t>
      </w:r>
      <w:r>
        <w:t xml:space="preserve">−1 подтверждают возможность измерения BER; незаданные длительность и критерий BER — [уточнить] в ПМИ.</w:t>
      </w:r>
    </w:p>
    <w:p>
      <w:pPr>
        <w:pStyle w:val="Heading2"/>
      </w:pPr>
      <w:r>
        <w:t xml:space="preserve">3.6 Мощность и конструктивное исполнение</w:t>
      </w:r>
    </w:p>
    <w:p>
      <w:pPr>
        <w:pStyle w:val="Note"/>
        <w:jc w:val="both"/>
      </w:pPr>
      <w:r>
        <w:rPr>
          <w:b/>
        </w:rPr>
        <w:t xml:space="preserve">ТТ-3.6-01.</w:t>
      </w:r>
      <w:r>
        <w:t xml:space="preserve"> Потребляемая мощность субплаты должна быть не более 15 Вт. Потребляемая мощность сборки должна быть не более 35 Вт. Состав сборки для измерения — [уточнить].</w:t>
      </w:r>
    </w:p>
    <w:p>
      <w:pPr>
        <w:pStyle w:val="BodyText"/>
        <w:jc w:val="both"/>
      </w:pPr>
      <w:r>
        <w:rPr>
          <w:b/>
        </w:rPr>
        <w:t xml:space="preserve">ТТ-3.6-02.</w:t>
      </w:r>
      <w:r>
        <w:t xml:space="preserve"> Конструкция должна соответствовать исполнению Single Full-size AMC.0 с габаритами 73,5 × 180,6 × 28,95 мм.</w:t>
      </w:r>
    </w:p>
    <w:p>
      <w:pPr>
        <w:pStyle w:val="BodyText"/>
        <w:jc w:val="both"/>
      </w:pPr>
      <w:r>
        <w:rPr>
          <w:b/>
        </w:rPr>
        <w:t xml:space="preserve">ТТ-3.6-03.</w:t>
      </w:r>
      <w:r>
        <w:t xml:space="preserve"> Межплатное крепление должно выполняться на 4–6 металлических стойках М2,5. Конкретное число стоек в допустимом диапазоне определяется РКД.</w:t>
      </w:r>
    </w:p>
    <w:p>
      <w:pPr>
        <w:pStyle w:val="Note"/>
        <w:jc w:val="both"/>
      </w:pPr>
      <w:r>
        <w:rPr>
          <w:b/>
        </w:rPr>
        <w:t xml:space="preserve">Подтверждение 3.6-П.</w:t>
      </w:r>
      <w:r>
        <w:t xml:space="preserve"> В рабочем режиме измеряют мощность субплаты и сборки; результаты должны быть соответственно ≤15 Вт и ≤35 Вт. Инспекцией и измерением образца подтверждают исполнение, габариты и крепление на 4–6 металлических стойках М2,5. Погрешности измерений — [уточнить] в ПМИ.</w:t>
      </w:r>
    </w:p>
    <w:p>
      <w:pPr>
        <w:pStyle w:val="Heading2"/>
      </w:pPr>
      <w:r>
        <w:t xml:space="preserve">3.7 Стойкость к внешним воздействиям и радиопомехи</w:t>
      </w:r>
    </w:p>
    <w:p>
      <w:pPr>
        <w:pStyle w:val="BodyText"/>
        <w:jc w:val="both"/>
      </w:pPr>
      <w:r>
        <w:rPr>
          <w:b/>
        </w:rPr>
        <w:t xml:space="preserve">ТТ-3.7-01.</w:t>
      </w:r>
      <w:r>
        <w:t xml:space="preserve"> Изделие должно соответствовать ГОСТ РВ 20.39.304-98 для групп 1.1, 1.3 и 1.4.1, исполнение «О».</w:t>
      </w:r>
    </w:p>
    <w:p>
      <w:pPr>
        <w:pStyle w:val="BodyText"/>
        <w:jc w:val="both"/>
      </w:pPr>
      <w:r>
        <w:rPr>
          <w:b/>
        </w:rPr>
        <w:t xml:space="preserve">ТТ-3.7-02.</w:t>
      </w:r>
      <w:r>
        <w:t xml:space="preserve"> Рабочая температура должна составлять от −10 до +50 °C включительно; предельная температура — от −40 до +65 °C включительно.</w:t>
      </w:r>
    </w:p>
    <w:p>
      <w:pPr>
        <w:pStyle w:val="Note"/>
        <w:jc w:val="both"/>
      </w:pPr>
      <w:r>
        <w:rPr>
          <w:b/>
        </w:rPr>
        <w:t xml:space="preserve">ТТ-3.7-03.</w:t>
      </w:r>
      <w:r>
        <w:t xml:space="preserve"> Изделие должно выдерживать синусоидальную вибрацию 5g и удары 15g. Частотный диапазон, длительность и прочие режимы воздействий исходными данными не заданы — применять только условия соответствующих указанных групп стандарта после уточнения их применимости в ПМИ.</w:t>
      </w:r>
    </w:p>
    <w:p>
      <w:pPr>
        <w:pStyle w:val="BodyText"/>
        <w:jc w:val="both"/>
      </w:pPr>
      <w:r>
        <w:rPr>
          <w:b/>
        </w:rPr>
        <w:t xml:space="preserve">ТТ-3.7-04.</w:t>
      </w:r>
      <w:r>
        <w:t xml:space="preserve"> Радиопомехи должны соответствовать группе 1.1.1 ГОСТ В 25803-91.</w:t>
      </w:r>
    </w:p>
    <w:p>
      <w:pPr>
        <w:pStyle w:val="Note"/>
        <w:jc w:val="both"/>
      </w:pPr>
      <w:r>
        <w:rPr>
          <w:b/>
        </w:rPr>
        <w:t xml:space="preserve">Подтверждение 3.7-П.</w:t>
      </w:r>
      <w:r>
        <w:t xml:space="preserve"> Испытаниями в режимах, заданных указанными группами ГОСТ РВ 20.39.304-98, подтверждают работоспособность в рабочем диапазоне температур и стойкость к предельным температурам, вибрации 5g и ударам 15g. Измерениями подтверждают соответствие радиопомех группе 1.1.1 ГОСТ В 25803-91. Полные режимы, длительности и погрешности — [уточнить] в ПМИ без введения новых требований.</w:t>
      </w:r>
    </w:p>
    <w:p>
      <w:pPr>
        <w:pStyle w:val="Heading2"/>
      </w:pPr>
      <w:r>
        <w:t xml:space="preserve">3.8 Надёжность</w:t>
      </w:r>
    </w:p>
    <w:p>
      <w:pPr>
        <w:pStyle w:val="BodyText"/>
        <w:jc w:val="both"/>
      </w:pPr>
      <w:r>
        <w:rPr>
          <w:b/>
        </w:rPr>
        <w:t xml:space="preserve">ТТ-3.8-01.</w:t>
      </w:r>
      <w:r>
        <w:t xml:space="preserve"> MTBF изделия должно быть не менее 15 000 ч.</w:t>
      </w:r>
    </w:p>
    <w:p>
      <w:pPr>
        <w:pStyle w:val="BodyText"/>
        <w:jc w:val="both"/>
      </w:pPr>
      <w:r>
        <w:rPr>
          <w:b/>
        </w:rPr>
        <w:t xml:space="preserve">ТТ-3.8-02.</w:t>
      </w:r>
      <w:r>
        <w:t xml:space="preserve"> Назначенный срок службы изделия должен быть не менее 5 лет.</w:t>
      </w:r>
    </w:p>
    <w:p>
      <w:pPr>
        <w:pStyle w:val="Note"/>
        <w:jc w:val="both"/>
      </w:pPr>
      <w:r>
        <w:rPr>
          <w:b/>
        </w:rPr>
        <w:t xml:space="preserve">Подтверждение 3.8-П.</w:t>
      </w:r>
      <w:r>
        <w:t xml:space="preserve"> Соответствие MTBF ≥15 000 ч и назначенному сроку службы ≥5 лет подтверждают расчётом и/или испытаниями согласно согласованной ПМИ. Метод оценки, исходные данные, доверительная вероятность и погрешность в исходных данных не установлены — [уточнить].</w:t>
      </w:r>
    </w:p>
    <w:p>
      <w:pPr>
        <w:pStyle w:val="Heading1"/>
      </w:pPr>
      <w:r>
        <w:t xml:space="preserve">4 Технико-экономические требования</w:t>
      </w:r>
    </w:p>
    <w:p>
      <w:pPr>
        <w:pStyle w:val="BodyText"/>
        <w:jc w:val="both"/>
      </w:pPr>
      <w:r>
        <w:rPr>
          <w:b/>
        </w:rPr>
        <w:t xml:space="preserve">4.1</w:t>
      </w:r>
      <w:r>
        <w:t xml:space="preserve"> Технико-экономические требования к изделию не предъявляются.</w:t>
      </w:r>
    </w:p>
    <w:p>
      <w:pPr>
        <w:pStyle w:val="Heading1"/>
      </w:pPr>
      <w:r>
        <w:t xml:space="preserve">5 Требования к видам обеспечения</w:t>
      </w:r>
    </w:p>
    <w:p>
      <w:pPr>
        <w:pStyle w:val="Heading2"/>
      </w:pPr>
      <w:r>
        <w:t xml:space="preserve">5.1 Требования к нормативно-техническому обеспечению</w:t>
      </w:r>
    </w:p>
    <w:p>
      <w:pPr>
        <w:pStyle w:val="BodyText"/>
        <w:jc w:val="both"/>
      </w:pPr>
      <w:r>
        <w:rPr>
          <w:b/>
        </w:rPr>
        <w:t xml:space="preserve">5.1.1</w:t>
      </w:r>
      <w:r>
        <w:t xml:space="preserve"> При разработке, изготовлении и проверке изделия должны применяться документы, перечисленные в перечне применимых нормативных и справочных документов настоящего ТЗ, в пределах указанной для них применимости.</w:t>
      </w:r>
    </w:p>
    <w:p>
      <w:pPr>
        <w:pStyle w:val="Note"/>
        <w:jc w:val="both"/>
      </w:pPr>
      <w:r>
        <w:rPr>
          <w:b/>
        </w:rPr>
        <w:t xml:space="preserve">Подтверждение 5.1-П.</w:t>
      </w:r>
      <w:r>
        <w:t xml:space="preserve"> Анализом РКД, программной документации и ПМИ подтверждают наличие ссылок на применимые документы и отсутствие требований, основанных на неуказанных редакциях.</w:t>
      </w:r>
    </w:p>
    <w:p>
      <w:pPr>
        <w:pStyle w:val="Heading2"/>
      </w:pPr>
      <w:r>
        <w:t xml:space="preserve">5.2 Требования к метрологическому обеспечению</w:t>
      </w:r>
    </w:p>
    <w:p>
      <w:pPr>
        <w:pStyle w:val="BodyText"/>
        <w:jc w:val="both"/>
      </w:pPr>
      <w:r>
        <w:rPr>
          <w:b/>
        </w:rPr>
        <w:t xml:space="preserve">5.2.1</w:t>
      </w:r>
      <w:r>
        <w:t xml:space="preserve"> Должны быть предусмотрены средства и методики измерения формы и амплитуды импульсов по ITU-T G.703, возвратных потерь в трактах 75 Ом, джиттера по ITU-T G.823 и BER.</w:t>
      </w:r>
    </w:p>
    <w:p>
      <w:pPr>
        <w:pStyle w:val="Note"/>
        <w:jc w:val="both"/>
      </w:pPr>
      <w:r>
        <w:rPr>
          <w:b/>
        </w:rPr>
        <w:t xml:space="preserve">5.2.2</w:t>
      </w:r>
      <w:r>
        <w:t xml:space="preserve"> Типы средств измерений, их характеристики, погрешности, длительность измерения BER и подробные методики в исходных данных не заданы — [уточнить] в ПМИ. Незаданные допуски вводить не допускается.</w:t>
      </w:r>
    </w:p>
    <w:p>
      <w:pPr>
        <w:pStyle w:val="Note"/>
        <w:jc w:val="both"/>
      </w:pPr>
      <w:r>
        <w:rPr>
          <w:b/>
        </w:rPr>
        <w:t xml:space="preserve">Подтверждение 5.2-П.</w:t>
      </w:r>
      <w:r>
        <w:t xml:space="preserve"> Инспекцией ПМИ подтверждают наличие методик и предусмотренных средств для всех четырёх видов измерений без изменения параметров раздела 3.</w:t>
      </w:r>
    </w:p>
    <w:p>
      <w:pPr>
        <w:pStyle w:val="Heading2"/>
      </w:pPr>
      <w:r>
        <w:t xml:space="preserve">5.3 Требования к диагностическому обеспечению</w:t>
      </w:r>
    </w:p>
    <w:p>
      <w:pPr>
        <w:pStyle w:val="BodyText"/>
        <w:jc w:val="both"/>
      </w:pPr>
      <w:r>
        <w:rPr>
          <w:b/>
        </w:rPr>
        <w:t xml:space="preserve">5.3.1</w:t>
      </w:r>
      <w:r>
        <w:t xml:space="preserve"> Диагностическое обеспечение должно регистрировать LOS, AIS и BPV, а также формировать соответствующие сообщения и отчёты для РМО.</w:t>
      </w:r>
    </w:p>
    <w:p>
      <w:pPr>
        <w:pStyle w:val="Note"/>
        <w:jc w:val="both"/>
      </w:pPr>
      <w:r>
        <w:rPr>
          <w:b/>
        </w:rPr>
        <w:t xml:space="preserve">Подтверждение 5.3-П.</w:t>
      </w:r>
      <w:r>
        <w:t xml:space="preserve"> При поочерёдном возникновении LOS, AIS и BPV проверяют регистрацию каждого события и формирование соответствующих сообщения и отчёта для РМО.</w:t>
      </w:r>
    </w:p>
    <w:p>
      <w:pPr>
        <w:pStyle w:val="Heading2"/>
      </w:pPr>
      <w:r>
        <w:t xml:space="preserve">5.4 Требования к программному обеспечению</w:t>
      </w:r>
    </w:p>
    <w:p>
      <w:pPr>
        <w:pStyle w:val="BodyText"/>
        <w:jc w:val="both"/>
      </w:pPr>
      <w:r>
        <w:rPr>
          <w:b/>
        </w:rPr>
        <w:t xml:space="preserve">5.4.1</w:t>
      </w:r>
      <w:r>
        <w:t xml:space="preserve"> В составе программного обеспечения должны быть разработаны bitstream функционального модуля PDH для размещения во Flash базовой платы, драйверы Linux и MIB для РМО.</w:t>
      </w:r>
    </w:p>
    <w:p>
      <w:pPr>
        <w:pStyle w:val="Note"/>
        <w:jc w:val="both"/>
      </w:pPr>
      <w:r>
        <w:rPr>
          <w:b/>
        </w:rPr>
        <w:t xml:space="preserve">Подтверждение 5.4-П.</w:t>
      </w:r>
      <w:r>
        <w:t xml:space="preserve"> Инспекцией комплекта программного обеспечения подтверждают наличие bitstream, драйверов Linux и MIB; функциональной проверкой — загрузку bitstream из Flash и обмен средствами управления с РМО.</w:t>
      </w:r>
    </w:p>
    <w:p>
      <w:pPr>
        <w:pStyle w:val="Heading1"/>
      </w:pPr>
      <w:r>
        <w:t xml:space="preserve">6 Требования к сырью, материалам и комплектующим изделиям</w:t>
      </w:r>
    </w:p>
    <w:p>
      <w:pPr>
        <w:pStyle w:val="BodyText"/>
        <w:jc w:val="both"/>
      </w:pPr>
      <w:r>
        <w:rPr>
          <w:b/>
        </w:rPr>
        <w:t xml:space="preserve">6.1</w:t>
      </w:r>
      <w:r>
        <w:t xml:space="preserve"> При выборе материалов и комплектующих должен обеспечиваться приоритет отечественной продукции с приёмкой ОТК.</w:t>
      </w:r>
    </w:p>
    <w:p>
      <w:pPr>
        <w:pStyle w:val="Note"/>
        <w:jc w:val="both"/>
      </w:pPr>
      <w:r>
        <w:rPr>
          <w:b/>
        </w:rPr>
        <w:t xml:space="preserve">6.2</w:t>
      </w:r>
      <w:r>
        <w:t xml:space="preserve"> При отсутствии отечественных аналогов допускается применение импортной ЭКБ промышленного температурного диапазона. Факт отсутствия аналогов и конкретный температурный диапазон применяемой ЭКБ должны быть подтверждены в РКД; численные границы промышленного диапазона исходными данными не заданы — [уточнить].</w:t>
      </w:r>
    </w:p>
    <w:p>
      <w:pPr>
        <w:pStyle w:val="Note"/>
        <w:jc w:val="both"/>
      </w:pPr>
      <w:r>
        <w:rPr>
          <w:b/>
        </w:rPr>
        <w:t xml:space="preserve">Подтверждение 6-П.</w:t>
      </w:r>
      <w:r>
        <w:t xml:space="preserve"> Анализом перечней элементов, спецификаций и документов ОТК подтверждают приоритет отечественных позиций и приёмку ОТК; для каждой импортной позиции — отсутствие отечественного аналога и принадлежность к промышленному температурному диапазону.</w:t>
      </w:r>
    </w:p>
    <w:p>
      <w:pPr>
        <w:pStyle w:val="Heading1"/>
      </w:pPr>
      <w:r>
        <w:t xml:space="preserve">7 Требования к консервации, упаковке и маркировке</w:t>
      </w:r>
    </w:p>
    <w:p>
      <w:pPr>
        <w:pStyle w:val="BodyText"/>
        <w:jc w:val="both"/>
      </w:pPr>
      <w:r>
        <w:rPr>
          <w:b/>
        </w:rPr>
        <w:t xml:space="preserve">7.1</w:t>
      </w:r>
      <w:r>
        <w:t xml:space="preserve"> На изделии должны быть нанесены децимальный номер, серийный номер и ревизия, а порты должны иметь маркировку E2-1, E2-2 и E3-1.</w:t>
      </w:r>
    </w:p>
    <w:p>
      <w:pPr>
        <w:pStyle w:val="BodyText"/>
        <w:jc w:val="both"/>
      </w:pPr>
      <w:r>
        <w:rPr>
          <w:b/>
        </w:rPr>
        <w:t xml:space="preserve">7.2</w:t>
      </w:r>
      <w:r>
        <w:t xml:space="preserve"> Каждое изделие должно поставляться в индивидуальной таре с ESD-защитой.</w:t>
      </w:r>
    </w:p>
    <w:p>
      <w:pPr>
        <w:pStyle w:val="Note"/>
        <w:jc w:val="both"/>
      </w:pPr>
      <w:r>
        <w:rPr>
          <w:b/>
        </w:rPr>
        <w:t xml:space="preserve">7.3</w:t>
      </w:r>
      <w:r>
        <w:t xml:space="preserve"> Срок хранения изделия в заводской таре должен быть не менее 1 года по ГОСТ 15150. Конкретные условия хранения по ГОСТ 15150 и требования к консервации исходными данными не заданы — [уточнить]; дополнительные условия консервации не устанавливаются.</w:t>
      </w:r>
    </w:p>
    <w:p>
      <w:pPr>
        <w:pStyle w:val="Note"/>
        <w:jc w:val="both"/>
      </w:pPr>
      <w:r>
        <w:rPr>
          <w:b/>
        </w:rPr>
        <w:t xml:space="preserve">Подтверждение 7-П.</w:t>
      </w:r>
      <w:r>
        <w:t xml:space="preserve"> Инспекцией изделия и упаковки подтверждают наличие всех маркировок, индивидуальной тары и ESD-защиты. Возможность хранения не менее 1 года подтверждают анализом упаковочной документации и/или испытанием после хранения в уточнённых условиях ГОСТ 15150.</w:t>
      </w:r>
    </w:p>
    <w:p>
      <w:pPr>
        <w:pStyle w:val="Heading1"/>
      </w:pPr>
      <w:r>
        <w:t xml:space="preserve">8 Специальные требования</w:t>
      </w:r>
    </w:p>
    <w:p>
      <w:pPr>
        <w:pStyle w:val="BodyText"/>
        <w:jc w:val="both"/>
      </w:pPr>
      <w:r>
        <w:rPr>
          <w:b/>
        </w:rPr>
        <w:t xml:space="preserve">8.1</w:t>
      </w:r>
      <w:r>
        <w:t xml:space="preserve"> Средства телеметрии РМО, реализованные на C++/Qt, должны отображать мнемосхему портов, состояния LOS/AIS и BPV, режимы SAToP/E2oP и выбранный источник тактирования.</w:t>
      </w:r>
    </w:p>
    <w:p>
      <w:pPr>
        <w:pStyle w:val="BodyText"/>
        <w:jc w:val="both"/>
      </w:pPr>
      <w:r>
        <w:rPr>
          <w:b/>
        </w:rPr>
        <w:t xml:space="preserve">8.2</w:t>
      </w:r>
      <w:r>
        <w:t xml:space="preserve"> РМО должно обеспечивать команды включения и отключения передатчиков, настройки джиттер-буфера, управления петлями и PRBS.</w:t>
      </w:r>
    </w:p>
    <w:p>
      <w:pPr>
        <w:pStyle w:val="Note"/>
        <w:jc w:val="both"/>
      </w:pPr>
      <w:r>
        <w:rPr>
          <w:b/>
        </w:rPr>
        <w:t xml:space="preserve">Подтверждение 8-П.</w:t>
      </w:r>
      <w:r>
        <w:t xml:space="preserve"> Для каждого порта создают отображаемые состояния и выбирают режимы/источники; на РМО должны быть видимы соответствующие мнемосхема, LOS/AIS, BPV, SAToP/E2oP и источник тактирования. Поочерёдной выдачей каждой команды подтверждают включение/отключение передатчика, изменение настройки джиттер-буфера, включение требуемой петли и управление PRBS.</w:t>
      </w:r>
    </w:p>
    <w:p>
      <w:pPr>
        <w:pageBreakBefore/>
      </w:pP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Роль, организация, должность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Подпись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Инициалы, фамилия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Разработчик ТЗ, ООО «тушканчик»: [должность — 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__________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Разработчик ТЗ: 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__________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t xml:space="preserve">Согласующая организация/служба: 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__________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[уточнить]</w:t>
            </w:r>
          </w:p>
        </w:tc>
      </w:tr>
    </w:tbl>
    <w:sectPr>
      <w:headerReference w:type="default" r:id="rId1"/>
      <w:pgSz w:w="11906" w:h="16838"/>
      <w:pgMar w:top="1134" w:right="850" w:bottom="1134" w:left="1417" w:header="567" w:footer="567"/>
      <w:cols w:space="708"/>
      <w:docGrid w:linePitch="36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Обычный"/>
  </w:style>
  <w:style w:type="paragraph" w:styleId="BodyText">
    <w:name w:val="Основной текст"/>
    <w:basedOn w:val="Normal"/>
    <w:pPr>
      <w:ind w:firstLine="709"/>
      <w:jc w:val="both"/>
    </w:pPr>
  </w:style>
  <w:style w:type="paragraph" w:styleId="Note">
    <w:name w:val="Примечание"/>
    <w:basedOn w:val="Normal"/>
    <w:pPr>
      <w:ind w:left="454"/>
      <w:jc w:val="both"/>
    </w:pPr>
    <w:rPr>
      <w:sz w:val="21"/>
    </w:rPr>
  </w:style>
  <w:style w:type="paragraph" w:styleId="Heading1">
    <w:name w:val="Заголовок 1"/>
    <w:basedOn w:val="Normal"/>
    <w:next w:val="BodyText"/>
    <w:pPr>
      <w:keepNext/>
      <w:spacing w:before="280" w:after="200"/>
      <w:jc w:val="center"/>
      <w:outlineLvl w:val="0"/>
    </w:pPr>
    <w:rPr>
      <w:b/>
      <w:caps/>
      <w:sz w:val="28"/>
    </w:rPr>
  </w:style>
  <w:style w:type="paragraph" w:styleId="Heading2">
    <w:name w:val="Заголовок 2"/>
    <w:basedOn w:val="Normal"/>
    <w:next w:val="BodyText"/>
    <w:pPr>
      <w:keepNext/>
      <w:spacing w:before="240" w:after="160"/>
      <w:outlineLvl w:val="1"/>
    </w:pPr>
    <w:rPr>
      <w:b/>
      <w:sz w:val="24"/>
    </w:rPr>
  </w:style>
  <w:style w:type="paragraph" w:styleId="Heading3">
    <w:name w:val="Заголовок 3"/>
    <w:basedOn w:val="Normal"/>
    <w:pPr>
      <w:keepNext/>
      <w:outlineLvl w:val="2"/>
    </w:pPr>
    <w:rPr>
      <w:b/>
    </w:rPr>
  </w:style>
  <w:style w:type="paragraph" w:styleId="Title">
    <w:name w:val="Название"/>
    <w:basedOn w:val="Normal"/>
    <w:pPr>
      <w:jc w:val="center"/>
      <w:spacing w:before="240" w:after="240"/>
    </w:pPr>
    <w:rPr>
      <w:b/>
      <w:sz w:val="32"/>
    </w:rPr>
  </w:style>
  <w:style w:type="paragraph" w:styleId="Subtitle">
    <w:name w:val="Подзаголовок"/>
    <w:basedOn w:val="Normal"/>
    <w:pPr>
      <w:jc w:val="center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задание. СЧ ОКР «Развитие-ТСА»</dc:title>
  <dc:creator>ООО «тушканчик»</dc:creator>
  <dcterms:created xsi:type="dcterms:W3CDTF">2026-10-03T20:22:09Z</dcterms:created>
</cp:coreProperties>
</file>