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0" w:type="auto"/>
            <w:shd w:fill="D9EAF7"/>
          </w:tcPr>
          <w:p>
            <w:pPr>
              <w:jc w:val="center"/>
            </w:pPr>
            <w:r>
              <w:rPr>
                <w:b/>
              </w:rPr>
              <w:t>СОГЛАСОВАНО</w:t>
            </w:r>
            <w:br/>
            <w:br/>
            <w:r>
              <w:rPr/>
              <w:t>Заказчик</w:t>
            </w:r>
            <w:br/>
            <w:r>
              <w:rPr/>
              <w:t>[уточнить]</w:t>
            </w:r>
            <w:br/>
            <w:br/>
            <w:r>
              <w:rPr/>
              <w:t>____________ / [уточнить] /</w:t>
            </w:r>
            <w:br/>
            <w:br/>
            <w:r>
              <w:rPr/>
              <w:t>«___» __________ 20__ г.</w:t>
            </w:r>
          </w:p>
        </w:tc>
        <w:tc>
          <w:tcPr>
            <w:tcW w:w="0" w:type="auto"/>
            <w:shd w:fill="D9EAF7"/>
          </w:tcPr>
          <w:p>
            <w:pPr>
              <w:jc w:val="center"/>
            </w:pPr>
            <w:r>
              <w:rPr>
                <w:b/>
              </w:rPr>
              <w:t>СОГЛАСОВАНО</w:t>
            </w:r>
            <w:br/>
            <w:br/>
            <w:r>
              <w:rPr/>
              <w:t>Исполнитель составной части ОКР</w:t>
            </w:r>
            <w:br/>
            <w:r>
              <w:rPr/>
              <w:t>ООО «тушканчик»</w:t>
            </w:r>
            <w:br/>
            <w:br/>
            <w:r>
              <w:rPr/>
              <w:t>____________ / [уточнить] /</w:t>
            </w:r>
            <w:br/>
            <w:br/>
            <w:r>
              <w:rPr/>
              <w:t>«___» __________ 20__ г.</w:t>
            </w:r>
          </w:p>
        </w:tc>
        <w:tc>
          <w:tcPr>
            <w:tcW w:w="0" w:type="auto"/>
            <w:shd w:fill="D9EAF7"/>
          </w:tcPr>
          <w:p>
            <w:pPr>
              <w:jc w:val="center"/>
            </w:pPr>
            <w:r>
              <w:rPr>
                <w:b/>
              </w:rPr>
              <w:t>УТВЕРЖДАЮ</w:t>
            </w:r>
            <w:br/>
            <w:br/>
            <w:r>
              <w:rPr/>
              <w:t>Головной исполнитель ОКР</w:t>
            </w:r>
            <w:br/>
            <w:r>
              <w:rPr/>
              <w:t>[уточнить]</w:t>
            </w:r>
            <w:br/>
            <w:br/>
            <w:r>
              <w:rPr/>
              <w:t>____________ / [уточнить] /</w:t>
            </w:r>
            <w:br/>
            <w:br/>
            <w:r>
              <w:rPr/>
              <w:t>«___» __________ 20__ г.</w:t>
            </w:r>
          </w:p>
        </w:tc>
      </w:tr>
    </w:tbl>
    <w:p>
      <w:pPr>
        <w:jc w:val="center"/>
      </w:pPr>
      <w:r>
        <w:rPr>
          <w:b/>
        </w:rPr>
        <w:t>ТЕХНИЧЕСКОЕ ЗАДАНИЕ</w:t>
      </w:r>
      <w:br/>
      <w:r>
        <w:rPr>
          <w:b/>
        </w:rPr>
        <w:t>НА СОСТАВНУЮ ЧАСТЬ ОПЫТНО-КОНСТРУКТОРСКОЙ РАБОТЫ</w:t>
      </w:r>
    </w:p>
    <w:p>
      <w:pPr>
        <w:jc w:val="center"/>
      </w:pPr>
      <w:r>
        <w:rPr/>
        <w:t>Разработка сменной интерфейсной субплаты E2/E3 и функционального модуля PDH</w:t>
      </w:r>
      <w:br/>
      <w:r>
        <w:rPr/>
        <w:t>для универсального базового модуля AMC семейства ДММП</w:t>
      </w:r>
    </w:p>
    <w:p>
      <w:pPr>
        <w:jc w:val="center"/>
      </w:pPr>
      <w:r>
        <w:rPr/>
        <w:t>Шифр ОКР «Развитие-ТСА»</w:t>
      </w:r>
    </w:p>
    <w:p>
      <w:pPr>
        <w:jc w:val="center"/>
      </w:pPr>
      <w:r>
        <w:rPr/>
        <w:t>Обозначение составной части изделия: [уточнить]</w:t>
      </w:r>
    </w:p>
    <w:p>
      <w:pPr>
        <w:jc w:val="center"/>
      </w:pPr>
      <w:r>
        <w:rPr/>
        <w:t>[место составления — уточнить]</w:t>
      </w:r>
      <w:br/>
      <w:r>
        <w:rPr/>
        <w:t>20__ г.</w:t>
      </w:r>
    </w:p>
    <w:p>
      <w:r>
        <w:br w:type="page"/>
      </w:r>
    </w:p>
    <w:p>
      <w:pPr>
        <w:pStyle w:val="Heading1"/>
      </w:pPr>
      <w:r>
        <w:rPr/>
        <w:t>ЛИСТ СОГЛАСОВАНИЯ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0" w:type="auto"/>
            <w:shd w:fill="D9EAF7"/>
          </w:tcPr>
          <w:p>
            <w:pPr>
              <w:jc w:val="center"/>
            </w:pPr>
            <w:r>
              <w:rPr/>
              <w:t>Организация</w:t>
            </w:r>
          </w:p>
        </w:tc>
        <w:tc>
          <w:tcPr>
            <w:tcW w:w="0" w:type="auto"/>
            <w:shd w:fill="D9EAF7"/>
          </w:tcPr>
          <w:p>
            <w:pPr>
              <w:jc w:val="center"/>
            </w:pPr>
            <w:r>
              <w:rPr/>
              <w:t>Должность</w:t>
            </w:r>
          </w:p>
        </w:tc>
        <w:tc>
          <w:tcPr>
            <w:tcW w:w="0" w:type="auto"/>
            <w:shd w:fill="D9EAF7"/>
          </w:tcPr>
          <w:p>
            <w:pPr>
              <w:jc w:val="center"/>
            </w:pPr>
            <w:r>
              <w:rPr/>
              <w:t>Фамилия, инициалы</w:t>
            </w:r>
          </w:p>
        </w:tc>
        <w:tc>
          <w:tcPr>
            <w:tcW w:w="0" w:type="auto"/>
            <w:shd w:fill="D9EAF7"/>
          </w:tcPr>
          <w:p>
            <w:pPr>
              <w:jc w:val="center"/>
            </w:pPr>
            <w:r>
              <w:rPr/>
              <w:t>Подпись</w:t>
            </w:r>
          </w:p>
        </w:tc>
        <w:tc>
          <w:tcPr>
            <w:tcW w:w="0" w:type="auto"/>
            <w:shd w:fill="D9EAF7"/>
          </w:tcPr>
          <w:p>
            <w:pPr>
              <w:jc w:val="center"/>
            </w:pPr>
            <w:r>
              <w:rPr/>
              <w:t>Дата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Заказчик</w:t>
            </w:r>
          </w:p>
        </w:tc>
        <w:tc>
          <w:tcPr>
            <w:tcW w:w="0" w:type="auto"/>
          </w:tcPr>
          <w:p>
            <w:pPr/>
            <w:r>
              <w:rPr/>
              <w:t>[уточнить]</w:t>
            </w:r>
          </w:p>
        </w:tc>
        <w:tc>
          <w:tcPr>
            <w:tcW w:w="0" w:type="auto"/>
          </w:tcPr>
          <w:p>
            <w:pPr/>
            <w:r>
              <w:rPr/>
              <w:t>[уточнить]</w:t>
            </w:r>
          </w:p>
        </w:tc>
        <w:tc>
          <w:tcPr>
            <w:tcW w:w="0" w:type="auto"/>
          </w:tcPr>
          <w:p>
            <w:pPr/>
            <w:r>
              <w:rPr/>
              <w:t>____________</w:t>
            </w:r>
          </w:p>
        </w:tc>
        <w:tc>
          <w:tcPr>
            <w:tcW w:w="0" w:type="auto"/>
          </w:tcPr>
          <w:p>
            <w:pPr/>
            <w:r>
              <w:rPr/>
              <w:t>«___» ________ 20__ г.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Головной исполнитель ОКР</w:t>
            </w:r>
          </w:p>
        </w:tc>
        <w:tc>
          <w:tcPr>
            <w:tcW w:w="0" w:type="auto"/>
          </w:tcPr>
          <w:p>
            <w:pPr/>
            <w:r>
              <w:rPr/>
              <w:t>[уточнить]</w:t>
            </w:r>
          </w:p>
        </w:tc>
        <w:tc>
          <w:tcPr>
            <w:tcW w:w="0" w:type="auto"/>
          </w:tcPr>
          <w:p>
            <w:pPr/>
            <w:r>
              <w:rPr/>
              <w:t>[уточнить]</w:t>
            </w:r>
          </w:p>
        </w:tc>
        <w:tc>
          <w:tcPr>
            <w:tcW w:w="0" w:type="auto"/>
          </w:tcPr>
          <w:p>
            <w:pPr/>
            <w:r>
              <w:rPr/>
              <w:t>____________</w:t>
            </w:r>
          </w:p>
        </w:tc>
        <w:tc>
          <w:tcPr>
            <w:tcW w:w="0" w:type="auto"/>
          </w:tcPr>
          <w:p>
            <w:pPr/>
            <w:r>
              <w:rPr/>
              <w:t>«___» ________ 20__ г.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Исполнитель составной части ОКР</w:t>
            </w:r>
            <w:br/>
            <w:r>
              <w:rPr/>
              <w:t>ООО «тушканчик»</w:t>
            </w:r>
          </w:p>
        </w:tc>
        <w:tc>
          <w:tcPr>
            <w:tcW w:w="0" w:type="auto"/>
          </w:tcPr>
          <w:p>
            <w:pPr/>
            <w:r>
              <w:rPr/>
              <w:t>[уточнить]</w:t>
            </w:r>
          </w:p>
        </w:tc>
        <w:tc>
          <w:tcPr>
            <w:tcW w:w="0" w:type="auto"/>
          </w:tcPr>
          <w:p>
            <w:pPr/>
            <w:r>
              <w:rPr/>
              <w:t>[уточнить]</w:t>
            </w:r>
          </w:p>
        </w:tc>
        <w:tc>
          <w:tcPr>
            <w:tcW w:w="0" w:type="auto"/>
          </w:tcPr>
          <w:p>
            <w:pPr/>
            <w:r>
              <w:rPr/>
              <w:t>____________</w:t>
            </w:r>
          </w:p>
        </w:tc>
        <w:tc>
          <w:tcPr>
            <w:tcW w:w="0" w:type="auto"/>
          </w:tcPr>
          <w:p>
            <w:pPr/>
            <w:r>
              <w:rPr/>
              <w:t>«___» ________ 20__ г.</w:t>
            </w:r>
          </w:p>
        </w:tc>
      </w:tr>
    </w:tbl>
    <w:p>
      <w:r>
        <w:br w:type="page"/>
      </w:r>
    </w:p>
    <w:p>
      <w:pPr>
        <w:pStyle w:val="Heading1"/>
      </w:pPr>
      <w:r>
        <w:rPr/>
        <w:t>ПЕРЕЧЕНЬ ОБОЗНАЧЕНИЙ И СОКРАЩЕНИЙ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0" w:type="auto"/>
            <w:shd w:fill="D9EAF7"/>
          </w:tcPr>
          <w:p>
            <w:pPr>
              <w:jc w:val="center"/>
            </w:pPr>
            <w:r>
              <w:rPr/>
              <w:t>Обозначение (сокращение)</w:t>
            </w:r>
          </w:p>
        </w:tc>
        <w:tc>
          <w:tcPr>
            <w:tcW w:w="0" w:type="auto"/>
            <w:shd w:fill="D9EAF7"/>
          </w:tcPr>
          <w:p>
            <w:pPr>
              <w:jc w:val="center"/>
            </w:pPr>
            <w:r>
              <w:rPr/>
              <w:t>Расшифровка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ACR/DCR</w:t>
            </w:r>
          </w:p>
        </w:tc>
        <w:tc>
          <w:tcPr>
            <w:tcW w:w="0" w:type="auto"/>
          </w:tcPr>
          <w:p>
            <w:pPr/>
            <w:r>
              <w:rPr/>
              <w:t>механизмы адаптивного восстановления тактовой частоты / дифференциального восстановления тактовой частоты.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AIS</w:t>
            </w:r>
          </w:p>
        </w:tc>
        <w:tc>
          <w:tcPr>
            <w:tcW w:w="0" w:type="auto"/>
          </w:tcPr>
          <w:p>
            <w:pPr/>
            <w:r>
              <w:rPr/>
              <w:t>Alarm Indication Signal — сигнал индикации аварии.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AMC</w:t>
            </w:r>
          </w:p>
        </w:tc>
        <w:tc>
          <w:tcPr>
            <w:tcW w:w="0" w:type="auto"/>
          </w:tcPr>
          <w:p>
            <w:pPr/>
            <w:r>
              <w:rPr/>
              <w:t>Advanced Mezzanine Card — усовершенствованная мезонинная карта; в настоящем ТЗ — форм-фактор модуля по PICMG AMC.0 R2.0.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B2B</w:t>
            </w:r>
          </w:p>
        </w:tc>
        <w:tc>
          <w:tcPr>
            <w:tcW w:w="0" w:type="auto"/>
          </w:tcPr>
          <w:p>
            <w:pPr/>
            <w:r>
              <w:rPr/>
              <w:t>Board-to-Board — межплатное соединение.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BER</w:t>
            </w:r>
          </w:p>
        </w:tc>
        <w:tc>
          <w:tcPr>
            <w:tcW w:w="0" w:type="auto"/>
          </w:tcPr>
          <w:p>
            <w:pPr/>
            <w:r>
              <w:rPr/>
              <w:t>Bit Error Ratio — коэффициент битовых ошибок.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Board ID</w:t>
            </w:r>
          </w:p>
        </w:tc>
        <w:tc>
          <w:tcPr>
            <w:tcW w:w="0" w:type="auto"/>
          </w:tcPr>
          <w:p>
            <w:pPr/>
            <w:r>
              <w:rPr/>
              <w:t>идентификатор платы, хранимый в EEPROM и используемый для автоматической активации функционального модуля.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BPV/CV</w:t>
            </w:r>
          </w:p>
        </w:tc>
        <w:tc>
          <w:tcPr>
            <w:tcW w:w="0" w:type="auto"/>
          </w:tcPr>
          <w:p>
            <w:pPr/>
            <w:r>
              <w:rPr/>
              <w:t>Bipolar Violation / Code Violation — нарушения биполярности / кодовые нарушения HDB3.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DPLL</w:t>
            </w:r>
          </w:p>
        </w:tc>
        <w:tc>
          <w:tcPr>
            <w:tcW w:w="0" w:type="auto"/>
          </w:tcPr>
          <w:p>
            <w:pPr/>
            <w:r>
              <w:rPr/>
              <w:t>цифровая система фазовой автоподстройки частоты.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E2, E3</w:t>
            </w:r>
          </w:p>
        </w:tc>
        <w:tc>
          <w:tcPr>
            <w:tcW w:w="0" w:type="auto"/>
          </w:tcPr>
          <w:p>
            <w:pPr/>
            <w:r>
              <w:rPr/>
              <w:t>первичный цифровой плезиохронный тракт со скоростью соответственно 8,448 Мбит/с и 34,368 Мбит/с.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E2oP</w:t>
            </w:r>
          </w:p>
        </w:tc>
        <w:tc>
          <w:tcPr>
            <w:tcW w:w="0" w:type="auto"/>
          </w:tcPr>
          <w:p>
            <w:pPr/>
            <w:r>
              <w:rPr/>
              <w:t>E2 over Packet — передача E2 в пакетной сети на архитектуре SAToP.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EEPROM</w:t>
            </w:r>
          </w:p>
        </w:tc>
        <w:tc>
          <w:tcPr>
            <w:tcW w:w="0" w:type="auto"/>
          </w:tcPr>
          <w:p>
            <w:pPr/>
            <w:r>
              <w:rPr/>
              <w:t>электрически стираемое перепрограммируемое постоянное запоминающее устройство.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ESD</w:t>
            </w:r>
          </w:p>
        </w:tc>
        <w:tc>
          <w:tcPr>
            <w:tcW w:w="0" w:type="auto"/>
          </w:tcPr>
          <w:p>
            <w:pPr/>
            <w:r>
              <w:rPr/>
              <w:t>Electrostatic Discharge — электростатический разряд.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HDB3</w:t>
            </w:r>
          </w:p>
        </w:tc>
        <w:tc>
          <w:tcPr>
            <w:tcW w:w="0" w:type="auto"/>
          </w:tcPr>
          <w:p>
            <w:pPr/>
            <w:r>
              <w:rPr/>
              <w:t>High Density Bipolar of order 3 — биполярный код высокой плотности третьего порядка.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LIU</w:t>
            </w:r>
          </w:p>
        </w:tc>
        <w:tc>
          <w:tcPr>
            <w:tcW w:w="0" w:type="auto"/>
          </w:tcPr>
          <w:p>
            <w:pPr/>
            <w:r>
              <w:rPr/>
              <w:t>Line Interface Unit — устройство линейного интерфейса.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LOS</w:t>
            </w:r>
          </w:p>
        </w:tc>
        <w:tc>
          <w:tcPr>
            <w:tcW w:w="0" w:type="auto"/>
          </w:tcPr>
          <w:p>
            <w:pPr/>
            <w:r>
              <w:rPr/>
              <w:t>Loss Of Signal — потеря входного сигнала.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MMC</w:t>
            </w:r>
          </w:p>
        </w:tc>
        <w:tc>
          <w:tcPr>
            <w:tcW w:w="0" w:type="auto"/>
          </w:tcPr>
          <w:p>
            <w:pPr/>
            <w:r>
              <w:rPr/>
              <w:t>Module Management Controller — контроллер управления модулем.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ОКР</w:t>
            </w:r>
          </w:p>
        </w:tc>
        <w:tc>
          <w:tcPr>
            <w:tcW w:w="0" w:type="auto"/>
          </w:tcPr>
          <w:p>
            <w:pPr/>
            <w:r>
              <w:rPr/>
              <w:t>опытно-конструкторская работа.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ПЛИС</w:t>
            </w:r>
          </w:p>
        </w:tc>
        <w:tc>
          <w:tcPr>
            <w:tcW w:w="0" w:type="auto"/>
          </w:tcPr>
          <w:p>
            <w:pPr/>
            <w:r>
              <w:rPr/>
              <w:t>программируемая логическая интегральная схема.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ПМИ</w:t>
            </w:r>
          </w:p>
        </w:tc>
        <w:tc>
          <w:tcPr>
            <w:tcW w:w="0" w:type="auto"/>
          </w:tcPr>
          <w:p>
            <w:pPr/>
            <w:r>
              <w:rPr/>
              <w:t>программа и методика испытаний.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РКД</w:t>
            </w:r>
          </w:p>
        </w:tc>
        <w:tc>
          <w:tcPr>
            <w:tcW w:w="0" w:type="auto"/>
          </w:tcPr>
          <w:p>
            <w:pPr/>
            <w:r>
              <w:rPr/>
              <w:t>рабочая конструкторская документация.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РМО</w:t>
            </w:r>
          </w:p>
        </w:tc>
        <w:tc>
          <w:tcPr>
            <w:tcW w:w="0" w:type="auto"/>
          </w:tcPr>
          <w:p>
            <w:pPr/>
            <w:r>
              <w:rPr/>
              <w:t>рабочее место оператора.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PDH</w:t>
            </w:r>
          </w:p>
        </w:tc>
        <w:tc>
          <w:tcPr>
            <w:tcW w:w="0" w:type="auto"/>
          </w:tcPr>
          <w:p>
            <w:pPr/>
            <w:r>
              <w:rPr/>
              <w:t>Plesiochronous Digital Hierarchy — плезиохронная цифровая иерархия.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PRBS</w:t>
            </w:r>
          </w:p>
        </w:tc>
        <w:tc>
          <w:tcPr>
            <w:tcW w:w="0" w:type="auto"/>
          </w:tcPr>
          <w:p>
            <w:pPr/>
            <w:r>
              <w:rPr/>
              <w:t>Pseudo-Random Binary Sequence — псевдослучайная двоичная последовательность.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SAToP</w:t>
            </w:r>
          </w:p>
        </w:tc>
        <w:tc>
          <w:tcPr>
            <w:tcW w:w="0" w:type="auto"/>
          </w:tcPr>
          <w:p>
            <w:pPr/>
            <w:r>
              <w:rPr/>
              <w:t>Synchronous Access over Packet — передача синхронного доступа через пакетную сеть.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TCLK, RX_CLK</w:t>
            </w:r>
          </w:p>
        </w:tc>
        <w:tc>
          <w:tcPr>
            <w:tcW w:w="0" w:type="auto"/>
          </w:tcPr>
          <w:p>
            <w:pPr/>
            <w:r>
              <w:rPr/>
              <w:t>тактовая частота системы / тактовая частота, восстановленная из принимаемого линейного сигнала.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TDM-over-Packet</w:t>
            </w:r>
          </w:p>
        </w:tc>
        <w:tc>
          <w:tcPr>
            <w:tcW w:w="0" w:type="auto"/>
          </w:tcPr>
          <w:p>
            <w:pPr/>
            <w:r>
              <w:rPr/>
              <w:t>передача временно́го мультиплексирования через пакетную сеть.</w:t>
            </w:r>
          </w:p>
        </w:tc>
      </w:tr>
    </w:tbl>
    <w:p>
      <w:pPr>
        <w:pStyle w:val="Heading1"/>
      </w:pPr>
      <w:r>
        <w:rPr/>
        <w:t>ПЕРЕЧЕНЬ ПРИМЕНИМЫХ НОРМАТИВНЫХ И СПРАВОЧНЫХ ДОКУМЕНТОВ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0" w:type="auto"/>
            <w:shd w:fill="D9EAF7"/>
          </w:tcPr>
          <w:p>
            <w:pPr>
              <w:jc w:val="center"/>
            </w:pPr>
            <w:r>
              <w:rPr/>
              <w:t>Обозначение</w:t>
            </w:r>
          </w:p>
        </w:tc>
        <w:tc>
          <w:tcPr>
            <w:tcW w:w="0" w:type="auto"/>
            <w:shd w:fill="D9EAF7"/>
          </w:tcPr>
          <w:p>
            <w:pPr>
              <w:jc w:val="center"/>
            </w:pPr>
            <w:r>
              <w:rPr/>
              <w:t>Наименование / применение в настоящем ТЗ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ГОСТ 15.016-2016</w:t>
            </w:r>
          </w:p>
        </w:tc>
        <w:tc>
          <w:tcPr>
            <w:tcW w:w="0" w:type="auto"/>
          </w:tcPr>
          <w:p>
            <w:pPr/>
            <w:r>
              <w:rPr/>
              <w:t>Система разработки и постановки продукции на производство. Техническое задание. Требования к содержанию и оформлению.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ITU-T G.703</w:t>
            </w:r>
          </w:p>
        </w:tc>
        <w:tc>
          <w:tcPr>
            <w:tcW w:w="0" w:type="auto"/>
          </w:tcPr>
          <w:p>
            <w:pPr/>
            <w:r>
              <w:rPr/>
              <w:t>Физические/электрические характеристики и параметры интерфейсов PDH.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ITU-T G.704</w:t>
            </w:r>
          </w:p>
        </w:tc>
        <w:tc>
          <w:tcPr>
            <w:tcW w:w="0" w:type="auto"/>
          </w:tcPr>
          <w:p>
            <w:pPr/>
            <w:r>
              <w:rPr/>
              <w:t>Структура тракта E2.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ITU-T G.751</w:t>
            </w:r>
          </w:p>
        </w:tc>
        <w:tc>
          <w:tcPr>
            <w:tcW w:w="0" w:type="auto"/>
          </w:tcPr>
          <w:p>
            <w:pPr/>
            <w:r>
              <w:rPr/>
              <w:t>Структура тракта E3.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ITU-T G.823</w:t>
            </w:r>
          </w:p>
        </w:tc>
        <w:tc>
          <w:tcPr>
            <w:tcW w:w="0" w:type="auto"/>
          </w:tcPr>
          <w:p>
            <w:pPr/>
            <w:r>
              <w:rPr/>
              <w:t>Контроль джиттера и вандера.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RFC 4553</w:t>
            </w:r>
          </w:p>
        </w:tc>
        <w:tc>
          <w:tcPr>
            <w:tcW w:w="0" w:type="auto"/>
          </w:tcPr>
          <w:p>
            <w:pPr/>
            <w:r>
              <w:rPr/>
              <w:t>SAToP.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PICMG AMC.0 R2.0</w:t>
            </w:r>
          </w:p>
        </w:tc>
        <w:tc>
          <w:tcPr>
            <w:tcW w:w="0" w:type="auto"/>
          </w:tcPr>
          <w:p>
            <w:pPr/>
            <w:r>
              <w:rPr/>
              <w:t>Требования к форм-фактору AMC.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ГОСТ РВ 20.39.304-98</w:t>
            </w:r>
          </w:p>
        </w:tc>
        <w:tc>
          <w:tcPr>
            <w:tcW w:w="0" w:type="auto"/>
          </w:tcPr>
          <w:p>
            <w:pPr/>
            <w:r>
              <w:rPr/>
              <w:t>Стойкость к внешним воздействующим факторам.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ГОСТ В 25803-91</w:t>
            </w:r>
          </w:p>
        </w:tc>
        <w:tc>
          <w:tcPr>
            <w:tcW w:w="0" w:type="auto"/>
          </w:tcPr>
          <w:p>
            <w:pPr/>
            <w:r>
              <w:rPr/>
              <w:t>Требования по радиопомехам.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ГОСТ 2.114-2016</w:t>
            </w:r>
          </w:p>
        </w:tc>
        <w:tc>
          <w:tcPr>
            <w:tcW w:w="0" w:type="auto"/>
          </w:tcPr>
          <w:p>
            <w:pPr/>
            <w:r>
              <w:rPr/>
              <w:t>Технические условия.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ГОСТ РВ 15.201-2003</w:t>
            </w:r>
          </w:p>
        </w:tc>
        <w:tc>
          <w:tcPr>
            <w:tcW w:w="0" w:type="auto"/>
          </w:tcPr>
          <w:p>
            <w:pPr/>
            <w:r>
              <w:rPr/>
              <w:t>Тактико-техническое (техническое) задание на выполнение ОКР.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ГОСТ 15150</w:t>
            </w:r>
          </w:p>
        </w:tc>
        <w:tc>
          <w:tcPr>
            <w:tcW w:w="0" w:type="auto"/>
          </w:tcPr>
          <w:p>
            <w:pPr/>
            <w:r>
              <w:rPr/>
              <w:t>Условия хранения в заводской таре.</w:t>
            </w:r>
          </w:p>
        </w:tc>
      </w:tr>
    </w:tbl>
    <w:p>
      <w:pPr>
        <w:pStyle w:val="Heading1"/>
      </w:pPr>
      <w:r>
        <w:rPr/>
        <w:t>1 Наименование, шифр, основание, исполнители и сроки ОКР</w:t>
      </w:r>
    </w:p>
    <w:p>
      <w:pPr/>
      <w:r>
        <w:rPr>
          <w:b/>
        </w:rPr>
        <w:t>1.1</w:t>
      </w:r>
      <w:r>
        <w:rPr/>
        <w:t xml:space="preserve"> Наименование составной части ОКР: «Разработка сменной интерфейсной субплаты E2/E3 и функционального модуля PDH для универсального базового модуля AMC семейства ДММП».</w:t>
      </w:r>
    </w:p>
    <w:p>
      <w:pPr/>
      <w:r>
        <w:rPr>
          <w:b/>
        </w:rPr>
        <w:t>1.2</w:t>
      </w:r>
      <w:r>
        <w:rPr/>
        <w:t xml:space="preserve"> Шифр ОКР — «Развитие-ТСА». Добавочный шифр составной части ОКР — [уточнить].</w:t>
      </w:r>
    </w:p>
    <w:p>
      <w:pPr/>
      <w:r>
        <w:rPr>
          <w:b/>
        </w:rPr>
        <w:t>1.3</w:t>
      </w:r>
      <w:r>
        <w:rPr/>
        <w:t xml:space="preserve"> Основание выполнения: приказ об открытии инициативной ОКР № [уточнить] от [уточнить].</w:t>
      </w:r>
    </w:p>
    <w:p>
      <w:pPr/>
      <w:r>
        <w:rPr>
          <w:b/>
        </w:rPr>
        <w:t>1.4</w:t>
      </w:r>
      <w:r>
        <w:rPr/>
        <w:t xml:space="preserve"> Исполнитель составной части ОКР — ООО «тушканчик» (условное наименование из исходных данных). Головной исполнитель ОКР и заказчик — [уточнить].</w:t>
      </w:r>
    </w:p>
    <w:p>
      <w:pPr/>
      <w:r>
        <w:rPr>
          <w:b/>
        </w:rPr>
        <w:t>1.5</w:t>
      </w:r>
      <w:r>
        <w:rPr/>
        <w:t xml:space="preserve"> Сроки выполнения составной части ОКР устанавливают в соответствии с утверждённым планом-графиком разработки РКД, программной документации, изготовления образцов и испытаний. Даты начала и окончания — [уточнить].</w:t>
      </w:r>
    </w:p>
    <w:p>
      <w:pPr>
        <w:pStyle w:val="Heading1"/>
      </w:pPr>
      <w:r>
        <w:rPr/>
        <w:t>2 Цель выполнения, наименование, назначение и область применения изделия</w:t>
      </w:r>
    </w:p>
    <w:p>
      <w:pPr/>
      <w:r>
        <w:rPr>
          <w:b/>
        </w:rPr>
        <w:t>2.1</w:t>
      </w:r>
      <w:r>
        <w:rPr/>
        <w:t xml:space="preserve"> Целью выполнения составной части ОКР является создание сменной интерфейсной субплаты E2/E3 и функционального модуля PDH для подключения к платформе ДММП через коаксиальные линии двух независимых потоков E2 и одного потока E3 с обеспечением TDM-over-Packet, джиттер-буферизации и синхронизации.</w:t>
      </w:r>
    </w:p>
    <w:p>
      <w:pPr/>
      <w:r>
        <w:rPr>
          <w:b/>
        </w:rPr>
        <w:t>2.2</w:t>
      </w:r>
      <w:r>
        <w:rPr/>
        <w:t xml:space="preserve"> Изделие предназначено для установки модуля AMC на Carrier платформы ДММП и работы с PDH-трактами 8 и 34 Мбит/с в энергетике, железнодорожном транспорте и у магистральных операторов.</w:t>
      </w:r>
    </w:p>
    <w:p>
      <w:pPr/>
      <w:r>
        <w:rPr>
          <w:b/>
        </w:rPr>
        <w:t>2.3</w:t>
      </w:r>
      <w:r>
        <w:rPr/>
        <w:t xml:space="preserve"> Аппаратная часть изделия включает субплату, интерфейсы, средства защиты, трансиверы и EEPROM.</w:t>
      </w:r>
    </w:p>
    <w:p>
      <w:pPr/>
      <w:r>
        <w:rPr>
          <w:b/>
        </w:rPr>
        <w:t>2.4</w:t>
      </w:r>
      <w:r>
        <w:rPr/>
        <w:t xml:space="preserve"> Логическая часть изделия представляет собой функциональный модуль ПЛИС базовой платы, автоматически активируемый по Board ID.</w:t>
      </w:r>
    </w:p>
    <w:p>
      <w:pPr>
        <w:pStyle w:val="Heading1"/>
      </w:pPr>
      <w:r>
        <w:rPr/>
        <w:t>3 Технические требования к изделию</w:t>
      </w:r>
    </w:p>
    <w:p>
      <w:pPr>
        <w:pStyle w:val="Heading2"/>
      </w:pPr>
      <w:r>
        <w:rPr/>
        <w:t>3.1 Архитектура, разъёмы и кабели</w:t>
      </w:r>
    </w:p>
    <w:p>
      <w:pPr/>
      <w:r>
        <w:rPr>
          <w:b/>
        </w:rPr>
        <w:t>3.1.1</w:t>
      </w:r>
      <w:r>
        <w:rPr/>
        <w:t xml:space="preserve"> Субплата должна подключаться к базовой плате через B2B и содержать три экранированных вибростойких разъёма HARTING PushPull 09452812560 с замковой фиксацией, тракты 75 Ом, ВЧ-трансформаторы, LIU, EEPROM с Board ID </w:t>
      </w:r>
      <w:r>
        <w:rPr/>
        <w:t>0x03</w:t>
      </w:r>
      <w:r>
        <w:rPr/>
        <w:t xml:space="preserve"> и светодиоды.</w:t>
      </w:r>
    </w:p>
    <w:p>
      <w:pPr/>
      <w:r>
        <w:rPr>
          <w:b/>
        </w:rPr>
        <w:t>3.1.2</w:t>
      </w:r>
      <w:r>
        <w:rPr/>
        <w:t xml:space="preserve"> Базовая плата должна предоставлять субплате напряжения +12 В и +3,3 В, интерфейс MMC и тактирование, а также автоматически загружать bitstream PDH из Flash.</w:t>
      </w:r>
    </w:p>
    <w:p>
      <w:pPr/>
      <w:r>
        <w:rPr>
          <w:b/>
        </w:rPr>
        <w:t>3.1.3</w:t>
      </w:r>
      <w:r>
        <w:rPr/>
        <w:t xml:space="preserve"> Разъёмы E2-1, E2-2 и E3-1 должны каждый обслуживать отдельные коаксиальные цепи TX и RX с волновым сопротивлением 75 Ом.</w:t>
      </w:r>
    </w:p>
    <w:p>
      <w:pPr/>
      <w:r>
        <w:rPr>
          <w:b/>
        </w:rPr>
        <w:t>3.1.4</w:t>
      </w:r>
      <w:r>
        <w:rPr/>
        <w:t xml:space="preserve"> В комплект и РКД должны быть включены экранированные адаптеры HARTING PushPull → две вилки BNC 75 Ом / DIN 1.0/2.3 с маркировкой TX/RX.</w:t>
      </w:r>
    </w:p>
    <w:p>
      <w:pPr/>
      <w:r>
        <w:rPr>
          <w:b/>
        </w:rPr>
        <w:t>3.1.5</w:t>
      </w:r>
      <w:r>
        <w:rPr/>
        <w:t xml:space="preserve"> Применение вилок BNC 50 Ом не допускается по импедансу и габаритам.</w:t>
      </w:r>
    </w:p>
    <w:p>
      <w:pPr/>
      <w:r>
        <w:rPr>
          <w:b/>
        </w:rPr>
        <w:t>Проверка 3.1:</w:t>
      </w:r>
      <w:r>
        <w:rPr/>
        <w:t xml:space="preserve"> осмотром РКД и изделия подтвердить состав, обозначение Board ID, типы разъёмов, наличие маркировки и отсутствие BNC 50 Ом; проверкой включения подтвердить автоматическую загрузку bitstream PDH из Flash базовой платы.</w:t>
      </w:r>
    </w:p>
    <w:p>
      <w:pPr>
        <w:pStyle w:val="Heading2"/>
      </w:pPr>
      <w:r>
        <w:rPr/>
        <w:t>3.2 Электрические параметры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0" w:type="auto"/>
            <w:shd w:fill="D9EAF7"/>
          </w:tcPr>
          <w:p>
            <w:pPr>
              <w:jc w:val="center"/>
            </w:pPr>
            <w:r>
              <w:rPr/>
              <w:t>Параметр</w:t>
            </w:r>
          </w:p>
        </w:tc>
        <w:tc>
          <w:tcPr>
            <w:tcW w:w="0" w:type="auto"/>
            <w:shd w:fill="D9EAF7"/>
          </w:tcPr>
          <w:p>
            <w:pPr>
              <w:jc w:val="center"/>
            </w:pPr>
            <w:r>
              <w:rPr/>
              <w:t>E2 (два порта)</w:t>
            </w:r>
          </w:p>
        </w:tc>
        <w:tc>
          <w:tcPr>
            <w:tcW w:w="0" w:type="auto"/>
            <w:shd w:fill="D9EAF7"/>
          </w:tcPr>
          <w:p>
            <w:pPr>
              <w:jc w:val="center"/>
            </w:pPr>
            <w:r>
              <w:rPr/>
              <w:t>E3 (один порт)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Скорость</w:t>
            </w:r>
          </w:p>
        </w:tc>
        <w:tc>
          <w:tcPr>
            <w:tcW w:w="0" w:type="auto"/>
          </w:tcPr>
          <w:p>
            <w:pPr/>
            <w:r>
              <w:rPr/>
              <w:t>8448 кбит/с (8,448 Мбит/с) ±30 ppm</w:t>
            </w:r>
          </w:p>
        </w:tc>
        <w:tc>
          <w:tcPr>
            <w:tcW w:w="0" w:type="auto"/>
          </w:tcPr>
          <w:p>
            <w:pPr/>
            <w:r>
              <w:rPr/>
              <w:t>34 368 кбит/с (34,368 Мбит/с) ±20 ppm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Код и сопротивление</w:t>
            </w:r>
          </w:p>
        </w:tc>
        <w:tc>
          <w:tcPr>
            <w:tcW w:w="0" w:type="auto"/>
          </w:tcPr>
          <w:p>
            <w:pPr/>
            <w:r>
              <w:rPr/>
              <w:t>HDB3, 75 Ом</w:t>
            </w:r>
          </w:p>
        </w:tc>
        <w:tc>
          <w:tcPr>
            <w:tcW w:w="0" w:type="auto"/>
          </w:tcPr>
          <w:p>
            <w:pPr/>
            <w:r>
              <w:rPr/>
              <w:t>HDB3, 75 Ом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Пиковое напряжение / длительность</w:t>
            </w:r>
          </w:p>
        </w:tc>
        <w:tc>
          <w:tcPr>
            <w:tcW w:w="0" w:type="auto"/>
          </w:tcPr>
          <w:p>
            <w:pPr/>
            <w:r>
              <w:rPr/>
              <w:t>2,37 В / 59 нс</w:t>
            </w:r>
          </w:p>
        </w:tc>
        <w:tc>
          <w:tcPr>
            <w:tcW w:w="0" w:type="auto"/>
          </w:tcPr>
          <w:p>
            <w:pPr/>
            <w:r>
              <w:rPr/>
              <w:t>1,0 В / 14,55 нс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Возвратные потери входа/выхода</w:t>
            </w:r>
          </w:p>
        </w:tc>
        <w:tc>
          <w:tcPr>
            <w:tcW w:w="0" w:type="auto"/>
          </w:tcPr>
          <w:p>
            <w:pPr/>
            <w:r>
              <w:rPr/>
              <w:t>≥18 дБ, 422–8448 кГц</w:t>
            </w:r>
          </w:p>
        </w:tc>
        <w:tc>
          <w:tcPr>
            <w:tcW w:w="0" w:type="auto"/>
          </w:tcPr>
          <w:p>
            <w:pPr/>
            <w:r>
              <w:rPr/>
              <w:t>≥18 дБ, 1720–34 368 кГц</w:t>
            </w:r>
          </w:p>
        </w:tc>
      </w:tr>
      <w:tr>
        <w:tc>
          <w:tcPr>
            <w:tcW w:w="0" w:type="auto"/>
          </w:tcPr>
          <w:p>
            <w:pPr/>
            <w:r>
              <w:rPr/>
              <w:t>Допустимое затухание кабеля</w:t>
            </w:r>
          </w:p>
        </w:tc>
        <w:tc>
          <w:tcPr>
            <w:tcW w:w="0" w:type="auto"/>
          </w:tcPr>
          <w:p>
            <w:pPr/>
            <w:r>
              <w:rPr/>
              <w:t>до 6 дБ на 4224 кГц</w:t>
            </w:r>
          </w:p>
        </w:tc>
        <w:tc>
          <w:tcPr>
            <w:tcW w:w="0" w:type="auto"/>
          </w:tcPr>
          <w:p>
            <w:pPr/>
            <w:r>
              <w:rPr/>
              <w:t>до 12 дБ на 17 184 кГц</w:t>
            </w:r>
          </w:p>
        </w:tc>
      </w:tr>
    </w:tbl>
    <w:p>
      <w:pPr/>
      <w:r>
        <w:rPr>
          <w:b/>
        </w:rPr>
        <w:t>3.2.1</w:t>
      </w:r>
      <w:r>
        <w:rPr/>
        <w:t xml:space="preserve"> Каждый порт должен иметь трансформаторную гальваническую развязку и импульсную защиту.</w:t>
      </w:r>
    </w:p>
    <w:p>
      <w:pPr/>
      <w:r>
        <w:rPr>
          <w:b/>
        </w:rPr>
        <w:t>3.2.2</w:t>
      </w:r>
      <w:r>
        <w:rPr/>
        <w:t xml:space="preserve"> Структура E2 должна соответствовать ITU-T G.704, структура E3 — ITU-T G.751, электрические параметры — ITU-T G.703.</w:t>
      </w:r>
    </w:p>
    <w:p>
      <w:pPr/>
      <w:r>
        <w:rPr>
          <w:b/>
        </w:rPr>
        <w:t>Проверка 3.2:</w:t>
      </w:r>
      <w:r>
        <w:rPr/>
        <w:t xml:space="preserve"> измерением подтвердить скорость, код, сопротивление, пиковое напряжение, длительность импульса, возвратные потери и допустимое затухание кабеля по таблице; методики и средства измерений — по 5.2.</w:t>
      </w:r>
    </w:p>
    <w:p>
      <w:pPr>
        <w:pStyle w:val="Heading2"/>
      </w:pPr>
      <w:r>
        <w:rPr/>
        <w:t>3.3 Пакетная передача, синхронизация, диагностика, конструкция, стойкость и надёжность</w:t>
      </w:r>
    </w:p>
    <w:p>
      <w:pPr/>
      <w:r>
        <w:rPr>
          <w:b/>
        </w:rPr>
        <w:t>3.3.1</w:t>
      </w:r>
      <w:r>
        <w:rPr/>
        <w:t xml:space="preserve"> Для E3 должна быть реализована передача SAToP по RFC 4553: полный поток с управляющим словом и контролем последовательности.</w:t>
      </w:r>
    </w:p>
    <w:p>
      <w:pPr/>
      <w:r>
        <w:rPr>
          <w:b/>
        </w:rPr>
        <w:t>3.3.2</w:t>
      </w:r>
      <w:r>
        <w:rPr/>
        <w:t xml:space="preserve"> Для E2 должна быть реализована передача E2oP на архитектуре SAToP: полный поток с минимальной фиксированной задержкой.</w:t>
      </w:r>
    </w:p>
    <w:p>
      <w:pPr/>
      <w:r>
        <w:rPr>
          <w:b/>
        </w:rPr>
        <w:t>3.3.3</w:t>
      </w:r>
      <w:r>
        <w:rPr/>
        <w:t xml:space="preserve"> Должны поддерживаться Fabric 10GbE и Strict Priority QoS. Джиттер-буфер каждого сервиса должен настраиваться в диапазоне 1–64 мс.</w:t>
      </w:r>
    </w:p>
    <w:p>
      <w:pPr/>
      <w:r>
        <w:rPr>
          <w:b/>
        </w:rPr>
        <w:t>3.3.4</w:t>
      </w:r>
      <w:r>
        <w:rPr/>
        <w:t xml:space="preserve"> Потеря пакетов или авария сети должна вызывать непрерывный AIS на выходе.</w:t>
      </w:r>
    </w:p>
    <w:p>
      <w:pPr/>
      <w:r>
        <w:rPr>
          <w:b/>
        </w:rPr>
        <w:t>3.3.5</w:t>
      </w:r>
      <w:r>
        <w:rPr/>
        <w:t xml:space="preserve"> Должен выполняться пересчёт TCLK 19,44 МГц в 8,448 МГц и 34,368 МГц с применением ACR/DCR, Holdover и Loop timing.</w:t>
      </w:r>
    </w:p>
    <w:p>
      <w:pPr/>
      <w:r>
        <w:rPr>
          <w:b/>
        </w:rPr>
        <w:t>3.3.6</w:t>
      </w:r>
      <w:r>
        <w:rPr/>
        <w:t xml:space="preserve"> Частота любого входного порта должна выдаваться в RX_CLK; ПЛИС/DPLL базовой платы должна преобразовывать её в 19,44 МГц для TCLK. Джиттер и вандер должны соответствовать ITU-T G.823.</w:t>
      </w:r>
    </w:p>
    <w:p>
      <w:pPr/>
      <w:r>
        <w:rPr>
          <w:b/>
        </w:rPr>
        <w:t>3.3.7</w:t>
      </w:r>
      <w:r>
        <w:rPr/>
        <w:t xml:space="preserve"> Должен осуществляться контроль LOS, AIS, BPV/CV HDB3, переполнения и опустошения буфера. Для каждого порта должны быть предусмотрены Local Line, Payload и Packet Loopback, а также генератор/анализатор PRBS 2</w:t>
      </w:r>
      <w:r>
        <w:rPr/>
        <w:t>23</w:t>
      </w:r>
      <w:r>
        <w:rPr/>
        <w:t>−1 для измерения BER.</w:t>
      </w:r>
    </w:p>
    <w:p>
      <w:pPr/>
      <w:r>
        <w:rPr>
          <w:b/>
        </w:rPr>
        <w:t>3.3.8</w:t>
      </w:r>
      <w:r>
        <w:rPr/>
        <w:t xml:space="preserve"> Потребляемая мощность субплаты должна быть не более 15 Вт, сборки — не более 35 Вт.</w:t>
      </w:r>
    </w:p>
    <w:p>
      <w:pPr/>
      <w:r>
        <w:rPr>
          <w:b/>
        </w:rPr>
        <w:t>3.3.9</w:t>
      </w:r>
      <w:r>
        <w:rPr/>
        <w:t xml:space="preserve"> Конструкция должна соответствовать исполнению Single Full-size AMC.0 габаритами 73,5 × 180,6 × 28,95 мм. Межплатное крепление должно выполняться на 4–6 металлических стойках М2,5.</w:t>
      </w:r>
    </w:p>
    <w:p>
      <w:pPr/>
      <w:r>
        <w:rPr>
          <w:b/>
        </w:rPr>
        <w:t>3.3.10</w:t>
      </w:r>
      <w:r>
        <w:rPr/>
        <w:t xml:space="preserve"> Изделие должно соответствовать ГОСТ РВ 20.39.304-98: группы 1.1, 1.3, 1.4.1, исполнение «О»; рабочая температура от −10 до +50 °C, предельная температура от −40 до +65 °C, синусоидальная вибрация 5g, удары 15g. Радиопомехи должны соответствовать группе 1.1.1 ГОСТ В 25803-91.</w:t>
      </w:r>
    </w:p>
    <w:p>
      <w:pPr/>
      <w:r>
        <w:rPr>
          <w:b/>
        </w:rPr>
        <w:t>3.3.11</w:t>
      </w:r>
      <w:r>
        <w:rPr/>
        <w:t xml:space="preserve"> Средняя наработка на отказ должна быть не менее 15 000 ч; назначенный срок службы — не менее 5 лет.</w:t>
      </w:r>
    </w:p>
    <w:p>
      <w:pPr/>
      <w:r>
        <w:rPr>
          <w:b/>
        </w:rPr>
        <w:t>Проверка 3.3:</w:t>
      </w:r>
      <w:r>
        <w:rPr/>
        <w:t xml:space="preserve"> функциональной проверкой подтвердить SAToP/E2oP, управляющее слово, контроль последовательности, настройку буфера, ACR/DCR, Holdover, Loop timing, RX_CLK, диагностику, петли и PRBS; при потере пакетов и аварии сети наблюдаемым результатом должен быть непрерывный AIS на выходе. Измерением подтвердить мощность и габариты; соответствие внешним воздействиям, радиопомехам и надёжности подтвердить по применимым документам. Погрешности измерений, состав испытаний и методики для подтверждения предельных значений — [уточнить].</w:t>
      </w:r>
    </w:p>
    <w:p>
      <w:pPr>
        <w:pStyle w:val="Heading1"/>
      </w:pPr>
      <w:r>
        <w:rPr/>
        <w:t>4 Технико-экономические требования</w:t>
      </w:r>
    </w:p>
    <w:p>
      <w:pPr/>
      <w:r>
        <w:rPr>
          <w:b/>
        </w:rPr>
        <w:t>4.1</w:t>
      </w:r>
      <w:r>
        <w:rPr/>
        <w:t xml:space="preserve"> Технико-экономические требования не предъявляются.</w:t>
      </w:r>
    </w:p>
    <w:p>
      <w:pPr>
        <w:pStyle w:val="Heading1"/>
      </w:pPr>
      <w:r>
        <w:rPr/>
        <w:t>5 Требования к видам обеспечения</w:t>
      </w:r>
    </w:p>
    <w:p>
      <w:pPr>
        <w:pStyle w:val="Heading2"/>
      </w:pPr>
      <w:r>
        <w:rPr/>
        <w:t>5.1 Нормативно-техническое обеспечение</w:t>
      </w:r>
    </w:p>
    <w:p>
      <w:pPr/>
      <w:r>
        <w:rPr>
          <w:b/>
        </w:rPr>
        <w:t>5.1.1</w:t>
      </w:r>
      <w:r>
        <w:rPr/>
        <w:t xml:space="preserve"> При разработке должны применяться документы, приведённые в перечне применимых нормативных и справочных документов настоящего ТЗ.</w:t>
      </w:r>
    </w:p>
    <w:p>
      <w:pPr>
        <w:pStyle w:val="Heading2"/>
      </w:pPr>
      <w:r>
        <w:rPr/>
        <w:t>5.2 Метрологическое обеспечение</w:t>
      </w:r>
    </w:p>
    <w:p>
      <w:pPr/>
      <w:r>
        <w:rPr>
          <w:b/>
        </w:rPr>
        <w:t>5.2.1</w:t>
      </w:r>
      <w:r>
        <w:rPr/>
        <w:t xml:space="preserve"> Должны быть предусмотрены средства и методики измерения формы и амплитуды импульсов по ITU-T G.703, возвратных потерь 75 Ом, джиттера по ITU-T G.823 и BER.</w:t>
      </w:r>
    </w:p>
    <w:p>
      <w:pPr/>
      <w:r>
        <w:rPr>
          <w:b/>
        </w:rPr>
        <w:t>Уточнение:</w:t>
      </w:r>
      <w:r>
        <w:rPr/>
        <w:t xml:space="preserve"> незаданные допуски средств измерений, оборудование, длительности и подробные методы не установлены и подлежат уточнению при разработке ПМИ.</w:t>
      </w:r>
    </w:p>
    <w:p>
      <w:pPr>
        <w:pStyle w:val="Heading2"/>
      </w:pPr>
      <w:r>
        <w:rPr/>
        <w:t>5.3 Диагностическое обеспечение</w:t>
      </w:r>
    </w:p>
    <w:p>
      <w:pPr/>
      <w:r>
        <w:rPr>
          <w:b/>
        </w:rPr>
        <w:t>5.3.1</w:t>
      </w:r>
      <w:r>
        <w:rPr/>
        <w:t xml:space="preserve"> Должны быть обеспечены регистрация LOS/AIS и BPV, формирование сообщений и отчётов для РМО.</w:t>
      </w:r>
    </w:p>
    <w:p>
      <w:pPr>
        <w:pStyle w:val="Heading2"/>
      </w:pPr>
      <w:r>
        <w:rPr/>
        <w:t>5.4 Программное обеспечение</w:t>
      </w:r>
    </w:p>
    <w:p>
      <w:pPr/>
      <w:r>
        <w:rPr>
          <w:b/>
        </w:rPr>
        <w:t>5.4.1</w:t>
      </w:r>
      <w:r>
        <w:rPr/>
        <w:t xml:space="preserve"> Должны быть разработаны bitstream функционального модуля для Flash базовой платы, драйверы Linux и MIB для РМО.</w:t>
      </w:r>
    </w:p>
    <w:p>
      <w:pPr/>
      <w:r>
        <w:rPr>
          <w:b/>
        </w:rPr>
        <w:t>Проверка 5:</w:t>
      </w:r>
      <w:r>
        <w:rPr/>
        <w:t xml:space="preserve"> анализом состава поставляемых программных и метрологических средств подтвердить наличие указанных результатов; при возникновении LOS/AIS и BPV проверить регистрацию и формирование сообщений и отчётов для РМО.</w:t>
      </w:r>
    </w:p>
    <w:p>
      <w:pPr>
        <w:pStyle w:val="Heading1"/>
      </w:pPr>
      <w:r>
        <w:rPr/>
        <w:t>6 Требования к сырью, материалам и комплектующим изделиям</w:t>
      </w:r>
    </w:p>
    <w:p>
      <w:pPr/>
      <w:r>
        <w:rPr>
          <w:b/>
        </w:rPr>
        <w:t>6.1</w:t>
      </w:r>
      <w:r>
        <w:rPr/>
        <w:t xml:space="preserve"> При создании изделия должен быть обеспечен приоритет отечественных материалов и комплектующих с приёмкой ОТК.</w:t>
      </w:r>
    </w:p>
    <w:p>
      <w:pPr/>
      <w:r>
        <w:rPr>
          <w:b/>
        </w:rPr>
        <w:t>6.2</w:t>
      </w:r>
      <w:r>
        <w:rPr/>
        <w:t xml:space="preserve"> При отсутствии аналогов допускается применение импортной ЭКБ промышленного температурного диапазона.</w:t>
      </w:r>
    </w:p>
    <w:p>
      <w:pPr/>
      <w:r>
        <w:rPr>
          <w:b/>
        </w:rPr>
        <w:t>Проверка 6:</w:t>
      </w:r>
      <w:r>
        <w:rPr/>
        <w:t xml:space="preserve"> анализом перечней материалов, комплектующих и документов приёмки ОТК подтвердить выполнение требований 6.1 и 6.2.</w:t>
      </w:r>
    </w:p>
    <w:p>
      <w:pPr>
        <w:pStyle w:val="Heading1"/>
      </w:pPr>
      <w:r>
        <w:rPr/>
        <w:t>7 Требования к консервации, упаковке и маркировке</w:t>
      </w:r>
    </w:p>
    <w:p>
      <w:pPr/>
      <w:r>
        <w:rPr>
          <w:b/>
        </w:rPr>
        <w:t>7.1</w:t>
      </w:r>
      <w:r>
        <w:rPr/>
        <w:t xml:space="preserve"> На изделие должны быть нанесены децимальный и серийный номера, ревизия и маркировка E2-1, E2-2, E3-1.</w:t>
      </w:r>
    </w:p>
    <w:p>
      <w:pPr/>
      <w:r>
        <w:rPr>
          <w:b/>
        </w:rPr>
        <w:t>7.2</w:t>
      </w:r>
      <w:r>
        <w:rPr/>
        <w:t xml:space="preserve"> Должна быть предусмотрена индивидуальная тара с ESD-защитой.</w:t>
      </w:r>
    </w:p>
    <w:p>
      <w:pPr/>
      <w:r>
        <w:rPr>
          <w:b/>
        </w:rPr>
        <w:t>7.3</w:t>
      </w:r>
      <w:r>
        <w:rPr/>
        <w:t xml:space="preserve"> Срок хранения в заводской таре должен составлять не менее 1 года по ГОСТ 15150.</w:t>
      </w:r>
    </w:p>
    <w:p>
      <w:pPr/>
      <w:r>
        <w:rPr>
          <w:b/>
        </w:rPr>
        <w:t>Уточнение:</w:t>
      </w:r>
      <w:r>
        <w:rPr/>
        <w:t xml:space="preserve"> условия и методы консервации не заданы.</w:t>
      </w:r>
    </w:p>
    <w:p>
      <w:pPr/>
      <w:r>
        <w:rPr>
          <w:b/>
        </w:rPr>
        <w:t>Проверка 7:</w:t>
      </w:r>
      <w:r>
        <w:rPr/>
        <w:t xml:space="preserve"> осмотром изделия и тары подтвердить маркировку, индивидуальную тару и ESD-защиту; анализом документации подтвердить срок хранения.</w:t>
      </w:r>
    </w:p>
    <w:p>
      <w:pPr>
        <w:pStyle w:val="Heading1"/>
      </w:pPr>
      <w:r>
        <w:rPr/>
        <w:t>8 Специальные требования</w:t>
      </w:r>
    </w:p>
    <w:p>
      <w:pPr/>
      <w:r>
        <w:rPr>
          <w:b/>
        </w:rPr>
        <w:t>8.1</w:t>
      </w:r>
      <w:r>
        <w:rPr/>
        <w:t xml:space="preserve"> Телеметрия РМО (C++/Qt) должна отображать мнемосхему портов, LOS/AIS, BPV, SAToP/E2oP и источник тактирования.</w:t>
      </w:r>
    </w:p>
    <w:p>
      <w:pPr/>
      <w:r>
        <w:rPr>
          <w:b/>
        </w:rPr>
        <w:t>8.2</w:t>
      </w:r>
      <w:r>
        <w:rPr/>
        <w:t xml:space="preserve"> Должны быть предусмотрены команды включения/отключения передатчиков, настройки джиттер-буфера, управления петлями и PRBS.</w:t>
      </w:r>
    </w:p>
    <w:p>
      <w:pPr/>
      <w:r>
        <w:rPr>
          <w:b/>
        </w:rPr>
        <w:t>Проверка 8:</w:t>
      </w:r>
      <w:r>
        <w:rPr/>
        <w:t xml:space="preserve"> при работе каждого порта проверить отображение мнемосхемы, LOS/AIS, BPV, используемого режима SAToP/E2oP и источника тактирования; подачей команд подтвердить включение/отключение передатчиков, изменение настройки джиттер-буфера, управление петлями и PRBS.</w:t>
      </w:r>
    </w:p>
    <w:p>
      <w:pPr>
        <w:pStyle w:val="Heading1"/>
      </w:pPr>
      <w:r>
        <w:rPr/>
        <w:t>ЛИСТ ПОДПИСЕЙ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0" w:type="auto"/>
            <w:shd w:fill="D9EAF7"/>
          </w:tcPr>
          <w:p>
            <w:pPr>
              <w:jc w:val="center"/>
            </w:pPr>
            <w:r>
              <w:rPr/>
              <w:t>Разработчик ТЗ</w:t>
            </w:r>
            <w:br/>
            <w:r>
              <w:rPr/>
              <w:t>ООО «тушканчик»</w:t>
            </w:r>
            <w:br/>
            <w:br/>
            <w:r>
              <w:rPr/>
              <w:t>Должность: [уточнить]</w:t>
            </w:r>
            <w:br/>
            <w:br/>
            <w:r>
              <w:rPr/>
              <w:t>____________ / [уточнить] /</w:t>
            </w:r>
            <w:br/>
            <w:br/>
            <w:r>
              <w:rPr/>
              <w:t>«___» __________ 20__ г.</w:t>
            </w:r>
          </w:p>
        </w:tc>
        <w:tc>
          <w:tcPr>
            <w:tcW w:w="0" w:type="auto"/>
            <w:shd w:fill="D9EAF7"/>
          </w:tcPr>
          <w:p>
            <w:pPr/>
            <w:r>
              <w:t/>
            </w:r>
          </w:p>
        </w:tc>
        <w:tc>
          <w:tcPr>
            <w:tcW w:w="0" w:type="auto"/>
            <w:shd w:fill="D9EAF7"/>
          </w:tcPr>
          <w:p>
            <w:pPr>
              <w:jc w:val="center"/>
            </w:pPr>
            <w:r>
              <w:rPr/>
              <w:t>СОГЛАСОВАНО</w:t>
            </w:r>
            <w:br/>
            <w:r>
              <w:rPr/>
              <w:t>Головной исполнитель ОКР</w:t>
            </w:r>
            <w:br/>
            <w:br/>
            <w:r>
              <w:rPr/>
              <w:t>Должность: [уточнить]</w:t>
            </w:r>
            <w:br/>
            <w:br/>
            <w:r>
              <w:rPr/>
              <w:t>____________ / [уточнить] /</w:t>
            </w:r>
            <w:br/>
            <w:br/>
            <w:r>
              <w:rPr/>
              <w:t>«___» __________ 20__ г.</w:t>
            </w:r>
          </w:p>
        </w:tc>
      </w:tr>
    </w:tbl>
    <w:p>
      <w:r>
        <w:br w:type="page"/>
      </w:r>
    </w:p>
    <w:sectPr>
      <w:headerReference w:type="default" r:id="rId2"/>
      <w:pgSz w:w="11906" w:h="16838"/>
      <w:pgMar w:top="1134" w:right="850" w:bottom="1134" w:left="1134" w:header="708" w:footer="708"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  <w:style w:type="paragraph" w:default="1" w:styleId="Normal">
    <w:name w:val="Normal"/>
    <w:pPr>
      <w:spacing w:after="120" w:line="360" w:lineRule="auto"/>
    </w:pPr>
  </w:style>
  <w:style w:type="paragraph" w:styleId="Heading1">
    <w:name w:val="heading 1"/>
    <w:basedOn w:val="Normal"/>
    <w:pPr>
      <w:keepNext/>
      <w:spacing w:before="240" w:after="120"/>
      <w:jc w:val="center"/>
    </w:pPr>
    <w:rPr>
      <w:b/>
      <w:sz w:val="28"/>
    </w:rPr>
  </w:style>
  <w:style w:type="paragraph" w:styleId="Heading2">
    <w:name w:val="heading 2"/>
    <w:basedOn w:val="Normal"/>
    <w:pPr>
      <w:keepNext/>
      <w:spacing w:before="180" w:after="80"/>
    </w:pPr>
    <w:rPr>
      <w:b/>
      <w:sz w:val="26"/>
    </w:rPr>
  </w:style>
  <w:style w:type="paragraph" w:styleId="Heading3">
    <w:name w:val="heading 3"/>
    <w:basedOn w:val="Normal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