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СОГЛАСОВАНО должность, заказчик 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СОГЛАСОВАНО должность, исполнитель СЧ ОКР 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УТВЕРЖДАЮ должность, головной исполнитель ОКР ______________ подпись, инициалы, фамилия «___» __________ 20__ г.</w:t>
      </w:r>
    </w:p>
    <w:p>
      <w:pPr>
        <w:jc w:val="center"/>
        <w:spacing w:after="80"/>
      </w:pPr>
      <w:r>
        <w:rPr>
          <w:rFonts w:ascii="Times New Roman" w:hAnsi="Times New Roman"/>
          <w:sz w:val="30"/>
          <w:b/>
        </w:rPr>
        <w:t xml:space="preserve">ТЕХНИЧЕСКОЕ ЗАДАНИЕ НА СОСТАВНУЮ ЧАСТЬ ОПЫТНО-КОНСТРУКТОРСКОЙ РАБОТЫ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Шифр ОКР: «Развитие-ТСА»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Обозначение составной части изделия: 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Действует с дополнением: ____________________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Регистрационный номер: 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Москва, 20__ г.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sz w:val="30"/>
          <w:b/>
        </w:rPr>
        <w:t xml:space="preserve">ЛИСТ СОГЛАСОВАНИЯ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Настоящее техническое задание на составную часть ОКР подлежит согласованию и утверждению в порядке, установленном ГОСТ 15.016—2016, раздел 7.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Организация / должностное лицо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Статус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Подпись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Дата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Заказчик либо НИО заказчика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[организация-исполнитель]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Исполнитель составной части ОКР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Головной исполнитель ОКР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[уточнить]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Другие согласующие организации — по решению заказчика или головного исполнителя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Срок рассмотрения и согласования проекта ТЗ — не более 15 рабочих дней с момента получения; разногласия разрешаются совместным решением не позднее 10 рабочих дней после получения. Конкретные лица, организации и даты: [уточнить].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sz w:val="30"/>
          <w:b/>
        </w:rPr>
        <w:t xml:space="preserve">ОБОЗНАЧЕНИЯ, ТЕРМИНЫ И СОКРАЩЕНИЯ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Обозначение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Раскрытие / значение в настоящем ТЗ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AMC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Форм-фактор сменного модуля, устанавливаемого на Carrier платформы ДММП; официальная расшифровка обозначения: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ПЛИС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Программируемая логическая интегральная схема; в настоящем ТЗ — логическая часть базовой платы и функциональный модуль.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B2B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Межплатное соединение субплаты с базовой платой; официальная расшифровка: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Board ID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Идентификатор платы; для субплаты задано значение 0x05.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MMC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Средство управления модулем на базовой плате; официальная расшифровка: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РМО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Рабочее место оператора; официальный вариант раскрытия сокращения: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ОКР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Опытно-конструкторская работа.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РКД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Рабочая конструкторская документация.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ПМИ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Программа и методика испытаний.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CDR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Функция трансивера восстановления тактовой частоты; официальное раскрытие: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DDM/DOM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Средства цифрового мониторинга параметров оптического модуля; официальный вариант раскрытия: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LOS, LOF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Сигналы потери оптического сигнала и потери кадровой синхронизации соответственно; официальные раскрытия: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PDV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Вариация задержки пакетов; официальное раскрытие: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P2, PTPv2, PRBS, QoS, SoC FPGA, SFP, LC, TX/RX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Обозначения режимов, интерфейсов и функций изделия согласно исходным требованиям; официальные раскрытия и профили: [уточнить], если это требуется комплектом РКД.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sz w:val="30"/>
          <w:b/>
        </w:rPr>
        <w:t xml:space="preserve">ПРИМЕНИМЫЕ НОРМАТИВНЫЕ И СПРАВОЧНЫЕ ДОКУМЕНТЫ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При разработке составной части применяются в указанной исходными требованиями части: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IEEE C37.94-2017 и совместимость с IEEE C37.94-2002.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ITU-T G.823.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SFF-8472.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IEEE 802.1p/Q.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PICMG AMC.0 R2.0.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РВ 20.39.304-98.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В 25803-91.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2.114-2016.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РВ 15.201-2003.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15150.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ГОСТ 15.016—2016 — в применимой части требований к ТЗ на составную часть ОКР.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Обозначения, наименования и редакции документов приведены по исходным требованиям. Проверка действующей редакции и конкретных применимых пунктов: [уточнить] в установленном порядке.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1 Наименование, шифр, основание, исполнители и сроки ОКР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1.1. Наименование составной части ОКР: сменная интерфейсная субплата 4×IEEE C37.94 и функциональный модуль релейной защиты для универсального базового модуля AMC семейства ДММП.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1.2. Шифр ОКР — «Развитие-ТСА».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1.3. Основание — приказ об открытии инициативной ОКР № [уточнить] от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1.4. Исполнитель — [организация-исполнитель]. Головной исполнитель ОКР —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1.5. Сроки выполнения связываются с утверждённым планом-графиком разработки РКД, программной документации, изготовления образцов и испытаний. Календарные даты —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приказа, сведений об исполнителях и утверждённого плана-графика; сопоставление шифра и состава работ с настоящим ТЗ.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2 Цель выполнения ОКР, наименование, назначение и область применения изделия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2.1. Цель — разработать субплату с четырьмя оптическими каналами IEEE C37.94 и функциональный модуль релейной защиты для базового модуля AMC семейства ДММП, обеспечивающие терминалам РЗА/ДЗЛ и ДФЗ, противоаварийной автоматики и регистраторам аварийных событий подстанций ДММП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2.2. Аппаратная часть включает субплату, четыре оптических интерфейса, защитные цепи, трансиверы и EEPROM. Логическая часть включает функциональный модуль ПЛИС базовой платы, автоматически активируемый по Board ID. Субплата устанавливается на Carrier платформы ДММП.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2.3. Изделие предназначено для оптического сопряжения указанных устройств РЗА и автоматики с универсальным базовым модулем AMC.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анализ назначения и состава, инспекция установки AMC на Carrier, проверка автоматической активации модуля по Board ID; результаты должны подтверждать назначение и границы аппаратной/логической частей.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3 Технические требования к изделию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3.1 Состав изделия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3.1.1. В состав входят: сменная субплата 4×IEEE C37.94; четыре независимых оптических порта; трансиверы; защитные цепи; EEPROM с Board ID; индикация; B2B-соединение с базовой платой; функциональный модуль ПЛИС базовой платы; bitstream для Flash базовой платы; драйверы Linux и MIB для РМО.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3.1.2. Базовая плата предоставляет субплате +12 В, +3,3 В, MMC, тактирование и автоматическую загрузку bitstream из Flash по Board ID.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состава и РКД; измерение наличия заданных питающих напряжений и сигналов на B2B; тест загрузки bitstream по Board ID 0x05.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3.2 Архитектура и оптические интерфейсы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3.2.1. Субплата должна иметь четыре экранированные корзины SFP / дуплексные LC с отдельными волокнами TX и RX. Альтернативы LC/SFP сохраняются; окончательное исполнение —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3.2.2. Трансиверы должны поддерживать 850/1310 нм и CDR, DDM/DOM и линии TX_DISABLE, TX_FAULT, RX_LOS.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3.2.3. Для 850 нм применяются MM 50/125 или 62,5/125 мкм, дальность до 2 км. Для 1310 нм применяются SM 9/125 мкм, дальность 20–40 км.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3.2.4. Опрос DDM/DOM выполняется по I2C согласно SFF-8472; контролируются мощность TX/RX, температура и ток лазера с передачей телеметрии в РМО.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конструкции и маркировки; измерение оптических параметров на заданных длинах волн и типах волокна; тест TX_DISABLE, TX_FAULT, RX_LOS; анализ обмена I2C и телеметрии. Конкретные допуски измерений: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3.3 Требования назначения и передача данных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3.3.1. На каждом порту независимо должно поддерживаться N = 1…12 каналов по 64 кбит/с. Полезная скорость — 64–768 кбит/с; кадровый поток — 2048 кбит/с.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3.3.2. Передача должна соответствовать IEEE C37.94-2017 с совместимостью с IEEE C37.94-2002, без изменения или инверсии пользовательских битов.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3.3.3. C37.94-over-Packet должен использовать Ethernet L2, фиксированный период пакетизации, Fabric 10GbE и Strict Priority QoS по IEEE 802.1p/Q. L3/UDP/IP допускается при необходимости с процессорным ядром SoC FPGA либо статической аппаратной подстановкой заголовка.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3.3.4. 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3.3.5. Ретрансляция потерянных пакетов запрещена. Единичный пропуск фиксируется как ошибка и обозначается Yellow Alarm / LOF. Превышение настраиваемого порога последовательных потерь вызывает Laser Off. Число потерь, абсолютная задержка и значение порога —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тестирование при N=1 и N=12 и промежуточных значениях; подача и приём потоков 64–768 кбит/с; анализ кадрового потока, битов, задержки и асимметрии; создание потери пакета и последовательных потерь; проверка Yellow Alarm/LOF, запрета ретрансляции и Laser Off. Температурные точки, профиль нагрузки и критерии для незаданных параметров: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3.4 Резервирование P2 и безопасные состояния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3.4.1. P2 (Hitless 1+1) должен передавать две идентичные копии по независимым трактам, выполнять поштучную дедупликацию и не допускать потери битов при отказе одного пути.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3.4.2. При LOS/LOF либо потере сетевого тракта формируется Yellow Alarm или выполняется немедленный Laser Off. Недостоверные, случайные и повторно воспроизведённые устаревшие данные РЗА запрещены.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3.4.3. Условия выбора безопасного состояния при сохранении второго пути — [уточнить].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поочерёдное отключение каждого из двух трактов, подача LOS/LOF и потери сетевого тракта; наблюдение за дедупликацией, непрерывностью битов, Yellow Alarm/Laser Off и исключением устаревших данных. Правило выбора безопасного состояния — [уточнить] до утверждения ПМИ.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3.5 Тактирование, диагностика и испытательные функции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3.5.1. Для каждого порта должны поддерживаться режимы: Loop timing от входного сигнала, TCLK 19,44 МГц, PTPv2 и локальный Holdover. Восстановленные 2048 кГц выбранного порта должны выдаваться в RX_CLK. Джиттер и вандер — по ITU-T G.823.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3.5.2. Должны контролироваться LOS, LOF, Yellow Alarm, битовые ошибки и DDM.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3.5.3. На каждом порту должны быть доступны Optical Loopback, Payload Loopback и Ethernet Packet Loopback, а также генератор/анализатор PRBS 2^15−1 и 2^23−1.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выбор каждого режима тактирования и выбранного порта; измерение RX_CLK, джиттера и вандера по ITU-T G.823; создание диагностических событий; запуск каждой петли и PRBS-последовательности; фиксация наблюдаемых результатов. Незаданные допуски и длительности тестов: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3.6 Конструктивные требования, стойкость и надёжность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3.6.1. Исполнение — Single Full-size AMC.0, габариты 73,5 × 180,6 × 28,95 мм; межплатное крепление — на 4–6 металлических стойках М2,5.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3.6.2. Мощность субплаты — не более 12 Вт; сборки с базовой платой — не более 35 Вт.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3.6.3. Стойкость — по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3.6.4. MTBF — не менее 15 000 ч; назначенный срок службы — не менее 20 лет.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измерение габаритов, крепления и потребляемой мощности; испытания и анализ по указанным группам, температурам, вибрации, ударам и радиопомехам; расчёт или испытание MTBF и срока службы по согласованной методике. Конкретные программы испытаний, критерии и средства: [уточнить] в ПМИ.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4 Технико-экономические требования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Требования не предъявляются.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настоящего раздела; дополнительные технико-экономические показатели в состав требований не включаются.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5 Требования к видам обеспечения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5.1 Нормативное обеспечение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Применять документы, перечисленные в разделе «Применимые нормативные и справочные документы».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5.2 Метрологическое обеспечение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Предусмотреть средства и методики измерения оптической мощности, джиттера по G.823, сквозной задержки и асимметрии. Незаданные допуски не устанавливать; [уточнить].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5.3 Диагностическое обеспечение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Обеспечить регистрацию DDM, LOS/LOF/Yellow Alarm и статистики задержки, формирование сообщений и отчётов для РМО.</w:t>
      </w:r>
    </w:p>
    <w:p>
      <w:pPr>
        <w:jc w:val="both"/>
        <w:spacing w:after="80"/>
      </w:pPr>
      <w:r>
        <w:rPr>
          <w:rFonts w:ascii="Times New Roman" w:hAnsi="Times New Roman"/>
          <w:sz w:val="23"/>
          <w:b/>
        </w:rPr>
        <w:t xml:space="preserve">5.4 Программное обеспечение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Разработать bitstream функционального модуля для Flash базовой платы, драйверы Linux и MIB для РМО.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комплекта средств и методик; измерения оптической мощности, джиттера, задержки и асимметрии; анализ журналов, сообщений и отчётов; проверка загрузки bitstream, драйверов Linux и MIB. Незаданные точности, форматы и состав отчётов: [уточнить].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6 Требования к сырью, материалам и комплектующим изделиям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6.1. Предусмотреть приоритет отечественных материалов и комплектующих с приёмкой ОТК.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6.2. При отсутствии аналогов разрешается применять импортную ЭКБ промышленного температурного диапазона.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анализ ведомостей покупных изделий и материалов, документов о происхождении и приёмке ОТК; для импортной ЭКБ — документированное подтверждение отсутствия аналогов и промышленного температурного диапазона.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7 Требования к консервации, упаковке и маркировке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7.1. На изделии предусмотреть децимальный и серийный номера, ревизию и маркировку C37-1…C37-4.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7.2. Оптические разъёмы защищать колпачками.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7.3. Хранение в заводской таре — не менее 1 года по ГОСТ 15150. Иные условия консервации — [уточнить]; неподтверждённые условия не устанавливаются.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визуальный контроль маркировки и защитных колпачков; инспекция упаковки и документов на хранение; срок хранения сопоставить с ГОСТ 15150.</w:t>
      </w:r>
    </w:p>
    <w:p>
      <w:pPr>
        <w:jc w:val="both"/>
        <w:spacing w:after="80"/>
      </w:pPr>
      <w:r>
        <w:rPr>
          <w:rFonts w:ascii="Times New Roman" w:hAnsi="Times New Roman"/>
          <w:sz w:val="26"/>
          <w:b/>
        </w:rPr>
        <w:t xml:space="preserve">8 Специальные требования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8.1. Телеметрия РМО (C++/Qt) должна включать мнемосхему четырёх портов, N, DDM в дБм, LOS/LOF/Yellow Alarm, задержку, асимметрию и статус P2.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8.2. Должны поддерживаться команды настройки N, режима тактирования и P2, управления петлями и запуска PRBS.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Проверка: инспекция интерфейса РМО; тестирование отображения каждого заданного параметра и статуса; выполнение команд при заданных режимах и наблюдение за изменением состояния; параметры интерфейса, роли пользователей и протокол обмена — [уточнить].</w:t>
      </w:r>
    </w:p>
    <w:p>
      <w:r>
        <w:br w:type="page"/>
      </w:r>
    </w:p>
    <w:p>
      <w:pPr>
        <w:jc w:val="center"/>
        <w:spacing w:after="80"/>
      </w:pPr>
      <w:r>
        <w:rPr>
          <w:rFonts w:ascii="Times New Roman" w:hAnsi="Times New Roman"/>
          <w:sz w:val="30"/>
          <w:b/>
        </w:rPr>
        <w:t xml:space="preserve">ПОСЛЕДНИЙ ЛИСТ ТЗ НА СОСТАВНУЮ ЧАСТЬ ОКР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Должность, организация разработчика ТЗ ____________________________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СОГЛАСОВАНО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Заказчик / НИО заказчика ____________________________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Исполнитель составной части ОКР ____________________________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Другие согласующие организации ____________________________ подпись, инициалы, фамилия «___» __________ 20__ г.</w:t>
      </w:r>
    </w:p>
    <w:p>
      <w:pPr>
        <w:jc w:val="both"/>
        <w:spacing w:after="80"/>
      </w:pPr>
      <w:r>
        <w:rPr>
          <w:rFonts w:ascii="Times New Roman" w:hAnsi="Times New Roman"/>
          <w:sz w:val="22"/>
        </w:rPr>
        <w:t xml:space="preserve">Подписи, ФИО, должности, организации и даты являются незаданными реквизитами и подлежат уточнению.</w:t>
      </w:r>
    </w:p>
    <w:sectPr>
      <w:pgSz w:w="11906" w:h="16838"/>
      <w:pgMar w:top="1134" w:right="1020" w:bottom="1020" w:left="1417"/>
    </w:sectPr>
  </w:body>
</w:document>
</file>

<file path=word/styles.xml><?xml version="1.0" encoding="utf-8"?>
<w:styles xmlns:w="http://schemas.openxmlformats.org/wordprocessingml/2006/main">
  <w:docDefaults>
    <w:rPrDefault>
      <w:rPr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