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СОГЛАСОВАНО</w:t>
            </w:r>
            <w:br/>
            <w:r>
              <w:rPr>
                <w:sz w:val="20"/>
                <w:szCs w:val="20"/>
              </w:rPr>
              <w:t xml:space="preserve">[должность, заказчик</w:t>
            </w:r>
            <w:br/>
            <w:r>
              <w:rPr>
                <w:sz w:val="20"/>
                <w:szCs w:val="20"/>
              </w:rPr>
              <w:t xml:space="preserve">(НИО заказчика)]__________ [инициалы, фамилия]«___» __________ 20__ г.</w:t>
            </w:r>
          </w:p>
        </w:tc>
        <w:tc>
          <w:tcPr>
            <w:tcW w:w="30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СОГЛАСОВАНО</w:t>
            </w:r>
            <w:br/>
            <w:r>
              <w:rPr>
                <w:sz w:val="20"/>
                <w:szCs w:val="20"/>
              </w:rPr>
              <w:t xml:space="preserve">[должность, исполнитель</w:t>
            </w:r>
            <w:br/>
            <w:r>
              <w:rPr>
                <w:sz w:val="20"/>
                <w:szCs w:val="20"/>
              </w:rPr>
              <w:t xml:space="preserve">составной части ОКР]__________ [инициалы, фамилия]«___» __________ 20__ г.</w:t>
            </w:r>
          </w:p>
        </w:tc>
        <w:tc>
          <w:tcPr>
            <w:tcW w:w="30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УТВЕРЖДАЮ</w:t>
            </w:r>
            <w:br/>
            <w:r>
              <w:rPr>
                <w:sz w:val="20"/>
                <w:szCs w:val="20"/>
              </w:rPr>
              <w:t xml:space="preserve">[должность, головной</w:t>
            </w:r>
            <w:br/>
            <w:r>
              <w:rPr>
                <w:sz w:val="20"/>
                <w:szCs w:val="20"/>
              </w:rPr>
              <w:t xml:space="preserve">исполнитель ОКР]__________ [инициалы, фамилия]«___» __________ 20__ г.</w:t>
            </w:r>
          </w:p>
        </w:tc>
      </w:tr>
    </w:tbl>
    <w:p>
      <w:pPr>
        <w:jc w:val="center"/>
        <w:spacing w:after="100" w:line="300" w:lineRule="auto"/>
      </w:pPr>
      <w:r>
        <w:rPr>
          <w:b/>
          <w:sz w:val="32"/>
          <w:szCs w:val="32"/>
        </w:rPr>
        <w:t xml:space="preserve">ТЕХНИЧЕСКОЕ ЗАДАНИЕ</w:t>
      </w:r>
      <w:br/>
      <w:r>
        <w:rPr>
          <w:b/>
          <w:sz w:val="32"/>
          <w:szCs w:val="32"/>
        </w:rPr>
        <w:t xml:space="preserve">НА СОСТАВНУЮ ЧАСТЬ</w:t>
      </w:r>
      <w:br/>
      <w:r>
        <w:rPr>
          <w:b/>
          <w:sz w:val="32"/>
          <w:szCs w:val="32"/>
        </w:rPr>
        <w:t xml:space="preserve">ОПЫТНО-КОНСТРУКТОРСКОЙ РАБОТЫ</w:t>
      </w:r>
    </w:p>
    <w:p>
      <w:pPr>
        <w:jc w:val="center"/>
        <w:spacing w:after="100" w:line="300" w:lineRule="auto"/>
      </w:pPr>
      <w:r>
        <w:rPr>
          <w:sz w:val="26"/>
          <w:szCs w:val="26"/>
        </w:rPr>
        <w:t xml:space="preserve">Разработка сменной интерфейсной субплаты 4×IEEE C37.94</w:t>
      </w:r>
      <w:br/>
      <w:r>
        <w:rPr>
          <w:sz w:val="26"/>
          <w:szCs w:val="26"/>
        </w:rPr>
        <w:t xml:space="preserve">и функционального модуля релейной защиты</w:t>
      </w:r>
      <w:br/>
      <w:r>
        <w:rPr>
          <w:sz w:val="26"/>
          <w:szCs w:val="26"/>
        </w:rPr>
        <w:t xml:space="preserve">для универсального базового модуля AMC семейства ДММП</w:t>
      </w:r>
    </w:p>
    <w:p>
      <w:pPr>
        <w:jc w:val="center"/>
        <w:spacing w:after="100" w:line="300" w:lineRule="auto"/>
      </w:pPr>
      <w:r>
        <w:rPr>
          <w:sz w:val="24"/>
          <w:szCs w:val="24"/>
        </w:rPr>
        <w:t xml:space="preserve">Шифр ОКР «Развитие-ТСА»</w:t>
      </w:r>
    </w:p>
    <w:p>
      <w:pPr>
        <w:jc w:val="center"/>
        <w:spacing w:after="100" w:line="300" w:lineRule="auto"/>
      </w:pPr>
      <w:r>
        <w:rPr>
          <w:sz w:val="24"/>
          <w:szCs w:val="24"/>
        </w:rPr>
        <w:t xml:space="preserve">Обозначение составной части изделия: [уточнить]</w:t>
      </w:r>
    </w:p>
    <w:p>
      <w:pPr>
        <w:jc w:val="right"/>
        <w:spacing w:after="100" w:line="300" w:lineRule="auto"/>
      </w:pPr>
      <w:r>
        <w:rPr>
          <w:sz w:val="24"/>
          <w:szCs w:val="24"/>
        </w:rPr>
        <w:t xml:space="preserve">Регистрационный номер: [уточнить]</w:t>
      </w:r>
    </w:p>
    <w:p>
      <w:pPr>
        <w:jc w:val="right"/>
        <w:spacing w:after="100" w:line="300" w:lineRule="auto"/>
      </w:pPr>
      <w:r>
        <w:rPr>
          <w:sz w:val="24"/>
          <w:szCs w:val="24"/>
        </w:rPr>
        <w:t xml:space="preserve">Действует с дополнением: —</w:t>
      </w:r>
    </w:p>
    <w:p>
      <w:pPr>
        <w:pStyle w:val="Heading1"/>
        <w:jc w:val="center"/>
        <w:pageBreakBefore/>
        <w:spacing w:after="100" w:line="300" w:lineRule="auto"/>
      </w:pPr>
      <w:r>
        <w:rPr>
          <w:b/>
          <w:sz w:val="30"/>
          <w:szCs w:val="30"/>
        </w:rPr>
        <w:t xml:space="preserve">ЛИСТ СОГЛАСОВАНИЯ</w:t>
      </w:r>
    </w:p>
    <w:p>
      <w:pPr>
        <w:jc w:val="center"/>
        <w:spacing w:after="100" w:line="300" w:lineRule="auto"/>
      </w:pPr>
      <w:r>
        <w:rPr>
          <w:sz w:val="24"/>
          <w:szCs w:val="24"/>
        </w:rPr>
        <w:t xml:space="preserve">к техническому заданию на составную часть ОКР «Развитие-ТСА»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b/>
                <w:sz w:val="20"/>
                <w:szCs w:val="20"/>
              </w:rPr>
              <w:t xml:space="preserve">Организация, должность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b/>
                <w:sz w:val="20"/>
                <w:szCs w:val="20"/>
              </w:rPr>
              <w:t xml:space="preserve">Подпись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b/>
                <w:sz w:val="20"/>
                <w:szCs w:val="20"/>
              </w:rPr>
              <w:t xml:space="preserve">Инициалы, фамилия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b/>
                <w:sz w:val="20"/>
                <w:szCs w:val="20"/>
              </w:rPr>
              <w:t xml:space="preserve">Дата</w:t>
            </w:r>
          </w:p>
        </w:tc>
      </w:tr>
      <w:tr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Заказчик (НИО заказчика): [уточнить]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__________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[уточнить]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«___» ______ 20__ г.</w:t>
            </w:r>
          </w:p>
        </w:tc>
      </w:tr>
      <w:tr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Исполнитель составной части ОКР: [организация-исполнитель], должность: [уточнить]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__________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[уточнить]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«___» ______ 20__ г.</w:t>
            </w:r>
          </w:p>
        </w:tc>
      </w:tr>
      <w:tr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Иная согласующая организация: [уточнить]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__________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[уточнить]</w:t>
            </w:r>
          </w:p>
        </w:tc>
        <w:tc>
          <w:tcPr>
            <w:tcW w:w="225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«___» ______ 20__ г.</w:t>
            </w:r>
          </w:p>
        </w:tc>
      </w:tr>
    </w:tbl>
    <w:p>
      <w:pPr>
        <w:jc w:val="both"/>
        <w:spacing w:after="100" w:line="300" w:lineRule="auto"/>
      </w:pPr>
      <w:r>
        <w:rPr>
          <w:sz w:val="24"/>
          <w:szCs w:val="24"/>
        </w:rPr>
        <w:t xml:space="preserve">Примечание — Состав иных согласующих организаций определяется головным исполнителем ОКР и заказчиком. Незаполненные реквизиты подлежат уточнению.</w:t>
      </w:r>
    </w:p>
    <w:p>
      <w:pPr>
        <w:pStyle w:val="Heading1"/>
        <w:jc w:val="center"/>
        <w:pageBreakBefore/>
        <w:spacing w:after="100" w:line="300" w:lineRule="auto"/>
      </w:pPr>
      <w:r>
        <w:rPr>
          <w:b/>
          <w:sz w:val="30"/>
          <w:szCs w:val="30"/>
        </w:rPr>
        <w:t xml:space="preserve">ПЕРЕЧЕНЬ ОБОЗНАЧЕНИЙ И СОКРАЩЕНИЙ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b/>
                <w:sz w:val="20"/>
                <w:szCs w:val="20"/>
              </w:rPr>
              <w:t xml:space="preserve">Обозначение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b/>
                <w:sz w:val="20"/>
                <w:szCs w:val="20"/>
              </w:rPr>
              <w:t xml:space="preserve">Раскрытие и значение в настоящем ТЗ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AMC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сокращения]; универсальный базовый модуль семейства ДММП, устанавливаемый на Carrier платформы ДММП.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B2B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сокращения]; межплатный интерфейс субплаты с базовой платой.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Board ID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Идентификатор субплаты в EEPROM; для разрабатываемой субплаты — 0x05.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Carrier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русскоязычное наименование]; место установки AMC на платформе ДММП.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CDR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сокращения]; функция трансиверов.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DDM/DOM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сокращений]; цифровой контроль мощности TX/RX, температуры и тока лазера по I2C согласно SFF-8472.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ДЗЛ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ДММП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сокращения]; семейство платформы и универсального базового модуля.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ДФЗ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КД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Конструкторские документы (документация).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MMC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сокращения]; функция базовой платы.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ОКР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Опытно-конструкторская работа.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ОТК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сокращения]; приёмка материалов и комплектующих.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ПЛИС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Программируемая логическая интегральная схема.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ПМИ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РЗА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РКД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Рабочая конструкторская документация.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РМО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сокращения]; программное средство на C++/Qt для отображения телеметрии и управления.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СЧ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Составная часть.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ТЗ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Техническое задание.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ЭКБ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[уточнить: раскрытие сокращения].</w:t>
            </w:r>
          </w:p>
        </w:tc>
      </w:tr>
    </w:tbl>
    <w:p>
      <w:pPr>
        <w:pStyle w:val="Heading1"/>
        <w:jc w:val="center"/>
        <w:pageBreakBefore/>
        <w:spacing w:after="100" w:line="300" w:lineRule="auto"/>
      </w:pPr>
      <w:r>
        <w:rPr>
          <w:b/>
          <w:sz w:val="30"/>
          <w:szCs w:val="30"/>
        </w:rPr>
        <w:t xml:space="preserve">ПЕРЕЧЕНЬ ПРИМЕНИМЫХ НОРМАТИВНЫХ И СПРАВОЧНЫХ ДОКУМЕНТОВ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b/>
                <w:sz w:val="20"/>
                <w:szCs w:val="20"/>
              </w:rPr>
              <w:t xml:space="preserve">Обозначение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b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ГОСТ 15.016—2016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Построение, содержание, изложение и оформление ТЗ на СЧ ОКР — пункты 6.1, 6.2 и 7.1.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IEEE C37.94-2017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Оптические интерфейсы и кадровый поток; совместимость с IEEE C37.94-2002.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IEEE C37.94-2002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Совместимость интерфейсов.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ITU-T G.823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Требования к джиттеру и вандеру.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SFF-8472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Опрос DDM/DOM по I2C.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IEEE 802.1p/Q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Strict Priority QoS для пакетной передачи Ethernet L2.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PICMG AMC.0 R2.0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Конструктив Single Full-size AMC.0.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ГОСТ РВ 20.39.304-98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Стойкость, группы 1.1, 1.3, 1.4.1, исполнение «О».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ГОСТ В 25803-91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Радиопомехи, группа 1.1.1.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ГОСТ 2.114-2016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Применимый нормативный документ.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ГОСТ РВ 15.201-2003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Применимый нормативный документ.</w:t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ГОСТ 15150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Хранение в заводской таре.</w:t>
            </w:r>
          </w:p>
        </w:tc>
      </w:tr>
    </w:tbl>
    <w:p>
      <w:pPr>
        <w:jc w:val="both"/>
        <w:spacing w:after="100" w:line="300" w:lineRule="auto"/>
      </w:pPr>
      <w:r>
        <w:rPr>
          <w:sz w:val="24"/>
          <w:szCs w:val="24"/>
        </w:rPr>
        <w:t xml:space="preserve">Примечание — Наименования документов, не приведённые в исходных требованиях, не реконструируются. Применение указанных документов осуществляется в части, относящейся к разрабатываемой СЧ ОКР.</w:t>
      </w:r>
    </w:p>
    <w:p>
      <w:pPr>
        <w:pStyle w:val="Heading1"/>
        <w:jc w:val="center"/>
        <w:pageBreakBefore/>
        <w:spacing w:after="100" w:line="300" w:lineRule="auto"/>
      </w:pPr>
      <w:r>
        <w:rPr>
          <w:b/>
          <w:sz w:val="30"/>
          <w:szCs w:val="30"/>
        </w:rPr>
        <w:t xml:space="preserve">1 Наименование, шифр, основание, исполнители и сроки ОКР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ТР-1.1. Наименование работы: разработка сменной интерфейсной субплаты 4×IEEE C37.94 и функционального модуля релейной защиты для универсального базового модуля AMC семейства ДММП.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ТР-1.2. Шифр ОКР — «Развитие-ТСА».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ТР-1.3. Основание выполнения — приказ об открытии инициативной ОКР № [уточнить] от [уточнить].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ТР-1.4. Исполнитель — [организация-исполнитель]. Головной исполнитель ОКР — [уточнить]. Заказчик (НИО заказчика) — [уточнить].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ТР-1.5. Сроки выполнения СЧ ОКР должны быть связаны с утверждённым планом-графиком разработки РКД и программной документации, изготовления образцов и проведения испытаний. Календарные даты — [уточнить].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Проверка требований раздела 1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Метод — инспекция документов. Проверить наличие и совпадение наименования, шифра, основания, исполнителей и сроков с приказом и утверждённым планом-графиком. До заполнения реквизитов ТР-1.3—ТР-1.5 полная проверка невозможна.</w:t>
      </w:r>
    </w:p>
    <w:p>
      <w:pPr>
        <w:pStyle w:val="Heading1"/>
        <w:jc w:val="center"/>
        <w:pageBreakBefore/>
        <w:spacing w:after="100" w:line="300" w:lineRule="auto"/>
      </w:pPr>
      <w:r>
        <w:rPr>
          <w:b/>
          <w:sz w:val="30"/>
          <w:szCs w:val="30"/>
        </w:rPr>
        <w:t xml:space="preserve">2 Цель выполнения, наименование, назначение и область применения изделия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ТР-2.1. Цель работы — создание СЧ ОКР, обеспечивающей для терминалов РЗА/ДЗЛ и ДФЗ, противоаварийной автоматики и регистраторов аварийных событий подстанций ДММП четыре оптических канала IEEE C37.94 для прозрачной передачи N×64 кбит/с с фиксированной низкой задержкой, симметрией, резервированием P2 и безопасным аварийным поведением.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ТР-2.2. Изделие должно состоять из аппаратной части — сменной интерфейсной субплаты с интерфейсами, защитными цепями, трансиверами и EEPROM — и логической части — функционального модуля ПЛИС базовой платы.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ТР-2.3. Функциональный модуль ПЛИС должен автоматически активироваться по Board ID субплаты.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ТР-2.4. AMC должен устанавливаться на Carrier платформы ДММП.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ТР-2.5. Обозначение изделия — [уточнить].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Проверка требований раздела 2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Методы — инспекция, анализ и функциональное испытание. По КД проверяют состав и место установки; при установке субплаты с Board ID 0x05 наблюдают автоматическую активацию требуемого функционального модуля ПЛИС. Назначение подтверждают испытаниями функций, установленными в разделе 3.</w:t>
      </w:r>
    </w:p>
    <w:p>
      <w:pPr>
        <w:pStyle w:val="Heading1"/>
        <w:jc w:val="center"/>
        <w:pageBreakBefore/>
        <w:spacing w:after="100" w:line="300" w:lineRule="auto"/>
      </w:pPr>
      <w:r>
        <w:rPr>
          <w:b/>
          <w:sz w:val="30"/>
          <w:szCs w:val="30"/>
        </w:rPr>
        <w:t xml:space="preserve">3 Технические требования к изделию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3.1 Архитектура и оптические интерфейсы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ТР-3.1.1. Субплата должна иметь четыре независимых оптических порта.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ТР-3.1.2. Должны быть предусмотрены четыре экранированные корзины SFP / дуплексные LC с отдельными волокнами TX и RX. Окончательное исполнение из альтернатив LC/SFP — [уточнить].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ТР-3.1.3. Должны применяться трансиверы 850/1310 нм с CDR, DDM/DOM; субплата должна содержать защитные цепи, EEPROM Board ID 0x05 и индикацию.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ТР-3.1.4. Для оптики 850 нм должны поддерживаться многомодовые волокна 50/125 или 62,5/125 мкм на дальности до 2 км. Для оптики 1310 нм должны поддерживаться одномодовые волокна 9/125 мкм на дальности 20–40 км.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ТР-3.1.5. Связь субплаты с базовой платой должна выполняться через B2B. Базовая плата должна предоставлять субплате питание +12 В и +3,3 В, MMC и тактирование и обеспечивать автоматическую загрузку bitstream из Flash по Board ID.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ТР-3.1.6. Для каждого порта должны быть реализованы линии TX_DISABLE, TX_FAULT и RX_LOS.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ТР-3.1.7. DDM/DOM должен опрашиваться по I2C согласно SFF-8472. Должны контролироваться мощность TX/RX, температура и ток лазера; телеметрия должна передаваться в РМО.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ТР-3.1.8. Каждый порт независимо должен поддерживать N = 1…12 каналов по 64 кбит/с, полезную скорость 64–768 кбит/с и кадровый поток 2048 кбит/с.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ТР-3.1.9. Интерфейс должен соответствовать IEEE C37.94-2017 и быть совместимым с IEEE C37.94-2002; пользовательские биты должны передаваться без изменения и инверсии.</w:t>
      </w:r>
    </w:p>
    <w:p>
      <w:pPr>
        <w:pStyle w:val="Heading3"/>
        <w:spacing w:after="100" w:line="300" w:lineRule="auto"/>
      </w:pPr>
      <w:r>
        <w:rPr>
          <w:b/>
          <w:sz w:val="24"/>
          <w:szCs w:val="24"/>
        </w:rPr>
        <w:t xml:space="preserve">Проверка требований 3.1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Методы — инспекция КД и изделия, измерение и функциональные испытания каждого из четырёх портов. Проверить наличие и независимость портов, вариант LC/SFP, типы волокон и дальности, длины волн, B2B, питания, Board ID, линии управления/состояния, DDM/DOM и передачу телеметрии. Для N = 1 и N = 12 и промежуточных настроек проверить кадровый поток 2048 кбит/с, полезную скорость 64–768 кбит/с и побитовую неизменность пользовательских данных. Пределы погрешностей измерения длины волны, дальности и скоростей — [уточнить]. Полная проверка ТР-3.1.2 невозможна до выбора окончательного исполнения.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3.2 Пакетная передача, резервирование и безопасные состояния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ТР-3.2.1. C37.94-over-Packet должен передаваться по Ethernet L2 с фиксированным периодом пакетизации через Fabric 10GbE с Strict Priority QoS по IEEE 802.1p/Q.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ТР-3.2.2. L3/UDP/IP должен применяться при необходимости с процессорным ядром SoC FPGA либо со статической аппаратной подстановкой заголовка. Необходимость L3/UDP/IP и выбор варианта реализации — [уточнить].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ТР-3.2.3. Задержка должна быть фиксированной и детерминированной. Абсолютное значение задержки — [уточнить].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ТР-3.2.4. Асимметрия прямого и обратного направлений должна быть не более ±10 мкс во всём диапазоне температур и сетевой нагрузки.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ТР-3.2.5. Независимый джиттер-буфер должен компенсировать PDV без выпадения кадров.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ТР-3.2.6. Ретрансляция потерянных пакетов запрещена.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ТР-3.2.7. Единичный пропуск должен фиксироваться как ошибка и обозначаться Yellow Alarm / LOF.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ТР-3.2.8. Превышение настраиваемого порога последовательных потерь должно вызывать Laser Off. Значение порога — [уточнить].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ТР-3.2.9. Должно вестись число потерь; требуемое представление и диапазон счётчика — [уточнить].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ТР-3.2.10. В режиме P2 (Hitless 1+1) две идентичные копии должны передаваться по независимым трактам и подвергаться поштучной дедупликации; отказ одного пути не должен приводить к потере битов.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ТР-3.2.11. При LOS/LOF либо потере сетевого тракта должно формироваться состояние Yellow Alarm или немедленный Laser Off.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ТР-3.2.12. Передача недостоверных, случайных и повторно воспроизведённых устаревших данных РЗА запрещена.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ТР-3.2.13. Условия выбора между Yellow Alarm и немедленным Laser Off, а также безопасного состояния при сохранении второго пути — [уточнить].</w:t>
      </w:r>
    </w:p>
    <w:p>
      <w:pPr>
        <w:pStyle w:val="Heading3"/>
        <w:spacing w:after="100" w:line="300" w:lineRule="auto"/>
      </w:pPr>
      <w:r>
        <w:rPr>
          <w:b/>
          <w:sz w:val="24"/>
          <w:szCs w:val="24"/>
        </w:rPr>
        <w:t xml:space="preserve">Проверка требований 3.2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Методы — анализ конфигурации и испытания при рабочей температуре −10…+50 °C и различных уровнях сетевой нагрузки. Подать известный поток, измерить задержку обоих направлений и подтвердить её детерминированность и асимметрию не более ±10 мкс; критерий абсолютной задержки и предел погрешности измерения — [уточнить]. Внести PDV и наблюдать отсутствие выпадения кадров. Имитировать единичную и последовательные потери: подтвердить отсутствие ретрансляции, регистрацию ошибки, Yellow Alarm / LOF и Laser Off после порога; порог — [уточнить]. В P2 отключить поочерёдно каждый тракт и подтвердить отсутствие потери битов, дедупликацию и запрет выдачи недостоверных, случайных и устаревших данных. Окончательный критерий безопасного состояния — [уточнить].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3.3 Тактирование, диагностика и конструкция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ТР-3.3.1. Каждый порт должен поддерживать режимы тактирования: Loop timing от входного сигнала, TCLK 19,44 МГц, PTPv2 и локальный Holdover.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ТР-3.3.2. Восстановленные 2048 кГц выбранного порта должны выдаваться в RX_CLK. Джиттер и вандер должны соответствовать ITU-T G.823.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ТР-3.3.3. Должны контролироваться LOS, LOF, Yellow Alarm, битовые ошибки и DDM.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ТР-3.3.4. На каждом порту должны быть реализованы Optical Loopback, Payload Loopback и Ethernet Packet Loopback.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ТР-3.3.5. Должен быть реализован генератор/анализатор PRBS 2^15−1 и 2^23−1.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ТР-3.3.6. Потребляемая мощность субплаты должна быть не более 12 Вт; потребляемая мощность сборки с базовой платой — не более 35 Вт.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ТР-3.3.7. Конструкция должна соответствовать Single Full-size AMC.0 по PICMG AMC.0 R2.0 и иметь габариты 73,5 × 180,6 × 28,95 мм.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ТР-3.3.8. Межплатное крепление должно выполняться на 4–6 металлических стойках М2,5. Окончательное число стоек — [уточнить].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ТР-3.3.9. Стойкость должна соответствовать ГОСТ РВ 20.39.304-98, группам 1.1, 1.3, 1.4.1, исполнению «О»: рабочая температура −10…+50 °C, предельная температура −40…+65 °C, синусоидальная вибрация 5g, удары 15g.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ТР-3.3.10. Радиопомехи должны соответствовать группе 1.1.1 ГОСТ В 25803-91.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ТР-3.3.11. Средняя наработка на отказ (MTBF) должна быть не менее 15 000 ч.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ТР-3.3.12. Назначенный срок службы должен быть не менее 20 лет.</w:t>
      </w:r>
    </w:p>
    <w:p>
      <w:pPr>
        <w:pStyle w:val="Heading3"/>
        <w:spacing w:after="100" w:line="300" w:lineRule="auto"/>
      </w:pPr>
      <w:r>
        <w:rPr>
          <w:b/>
          <w:sz w:val="24"/>
          <w:szCs w:val="24"/>
        </w:rPr>
        <w:t xml:space="preserve">Проверка требований 3.3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Методы — инспекция, измерение, анализ и испытания. На каждом порту последовательно выбрать все четыре режима тактирования, наблюдать выдачу восстановленных 2048 кГц выбранного порта в RX_CLK; джиттер/вандер измерить по ITU-T G.823. Имитировать LOS, LOF, Yellow Alarm и битовые ошибки; проверить DDM, все три петли и обе последовательности PRBS. Измерить мощности при установленных режимах нагрузки: не более 12 Вт и 35 Вт соответственно; режим нагрузки и погрешность — [уточнить]. Габариты и крепление проверить измерением/инспекцией. Стойкость и радиопомехи проверить испытаниями по указанным группам; недостающие режимы и погрешности определяются ПМИ без введения новых норм. MTBF и срок службы подтвердить анализом и/или испытаниями; методика и исходные данные — [уточнить].</w:t>
      </w:r>
    </w:p>
    <w:p>
      <w:pPr>
        <w:pStyle w:val="Heading1"/>
        <w:jc w:val="center"/>
        <w:pageBreakBefore/>
        <w:spacing w:after="100" w:line="300" w:lineRule="auto"/>
      </w:pPr>
      <w:r>
        <w:rPr>
          <w:b/>
          <w:sz w:val="30"/>
          <w:szCs w:val="30"/>
        </w:rPr>
        <w:t xml:space="preserve">4 Технико-экономические требования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ТР-4.1. Технико-экономические требования не предъявляются.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Проверка требований раздела 4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Не требуется.</w:t>
      </w:r>
    </w:p>
    <w:p>
      <w:pPr>
        <w:pStyle w:val="Heading1"/>
        <w:jc w:val="center"/>
        <w:pageBreakBefore/>
        <w:spacing w:after="100" w:line="300" w:lineRule="auto"/>
      </w:pPr>
      <w:r>
        <w:rPr>
          <w:b/>
          <w:sz w:val="30"/>
          <w:szCs w:val="30"/>
        </w:rPr>
        <w:t xml:space="preserve">5 Требования к видам обеспечения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5.1 Нормативное обеспечение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ТР-5.1.1. При разработке должны применяться документы, перечисленные в перечне применимых нормативных и справочных документов настоящего ТЗ, в относящейся к изделию части.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5.2 Метрологическое обеспечение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ТР-5.2.1. Должны быть предусмотрены средства и методики измерения оптической мощности, джиттера по ITU-T G.823, сквозной задержки и асимметрии.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ТР-5.2.2. Допуски и пределы погрешностей измерения, не заданные настоящим ТЗ, — [уточнить].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5.3 Диагностическое обеспечение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ТР-5.3.1. Должны регистрироваться DDM, LOS, LOF, Yellow Alarm и статистика задержки.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ТР-5.3.2. Для РМО должны формироваться сообщения и отчёты по зарегистрированным диагностическим данным.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5.4 Программное обеспечение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ТР-5.4.1. Должен быть разработан bitstream функционального модуля для Flash базовой платы.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ТР-5.4.2. Должны быть разработаны драйверы Linux и MIB для РМО.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Проверка требований раздела 5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Методы — инспекция документации, анализ и испытание. Сверить применённые НД с перечнем; проверить наличие средств и методик измерений, bitstream, драйверов Linux и MIB. Подать/имитировать диагностические события и измеряемые величины, затем проверить регистрацию и формирование сообщений и отчётов РМО. Полнота метрологической проверки зависит от уточнения допусков и пределов погрешностей.</w:t>
      </w:r>
    </w:p>
    <w:p>
      <w:pPr>
        <w:pStyle w:val="Heading1"/>
        <w:jc w:val="center"/>
        <w:pageBreakBefore/>
        <w:spacing w:after="100" w:line="300" w:lineRule="auto"/>
      </w:pPr>
      <w:r>
        <w:rPr>
          <w:b/>
          <w:sz w:val="30"/>
          <w:szCs w:val="30"/>
        </w:rPr>
        <w:t xml:space="preserve">6 Требования к сырью, материалам и комплектующим изделиям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ТР-6.1. При выборе материалов и комплектующих приоритет должен отдаваться отечественным материалам и комплектующим с приёмкой ОТК.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ТР-6.2.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Проверка требований раздела 6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Метод — инспекция перечня элементов, спецификаций и документов входного контроля. Для импортной ЭКБ проверить документированное отсутствие отечественного аналога и принадлежность к промышленному температурному диапазону.</w:t>
      </w:r>
    </w:p>
    <w:p>
      <w:pPr>
        <w:pStyle w:val="Heading1"/>
        <w:jc w:val="center"/>
        <w:pageBreakBefore/>
        <w:spacing w:after="100" w:line="300" w:lineRule="auto"/>
      </w:pPr>
      <w:r>
        <w:rPr>
          <w:b/>
          <w:sz w:val="30"/>
          <w:szCs w:val="30"/>
        </w:rPr>
        <w:t xml:space="preserve">7 Требования к консервации, упаковке и маркировке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ТР-7.1. На изделии должны быть нанесены децимальный номер, серийный номер и ревизия.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ТР-7.2. Порты должны быть маркированы C37-1…C37-4.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ТР-7.3. Оптические разъёмы должны быть защищены колпачками.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ТР-7.4. Срок хранения изделия в заводской таре должен быть не менее 1 года по ГОСТ 15150.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ТР-7.5. Условия и способы консервации, не заданные настоящим ТЗ, — [уточнить].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Проверка требований раздела 7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Методы — визуальный контроль и инспекция документов. Проверить содержание маркировки, соответствие обозначений четырём портам, наличие защитных колпачков и документированное обеспечение хранения не менее 1 года по ГОСТ 15150. Проверка консервации в полном объёме невозможна до уточнения условий и способов.</w:t>
      </w:r>
    </w:p>
    <w:p>
      <w:pPr>
        <w:pStyle w:val="Heading1"/>
        <w:jc w:val="center"/>
        <w:pageBreakBefore/>
        <w:spacing w:after="100" w:line="300" w:lineRule="auto"/>
      </w:pPr>
      <w:r>
        <w:rPr>
          <w:b/>
          <w:sz w:val="30"/>
          <w:szCs w:val="30"/>
        </w:rPr>
        <w:t xml:space="preserve">8 Специальные требования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ТР-8.1. РМО на C++/Qt должно содержать мнемосхему четырёх портов.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ТР-8.2. РМО должно отображать для изделия и/или соответствующего порта: N, DDM в дБм, LOS, LOF, Yellow Alarm, задержку, асимметрию и статус P2.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ТР-8.3. РМО должно обеспечивать команды настройки N, режима тактирования и P2, управления петлями и запуска PRBS.</w:t>
      </w:r>
    </w:p>
    <w:p>
      <w:pPr>
        <w:pStyle w:val="Heading2"/>
        <w:spacing w:after="100" w:line="300" w:lineRule="auto"/>
      </w:pPr>
      <w:r>
        <w:rPr>
          <w:b/>
          <w:sz w:val="26"/>
          <w:szCs w:val="26"/>
        </w:rPr>
        <w:t xml:space="preserve">Проверка требований раздела 8</w:t>
      </w:r>
    </w:p>
    <w:p>
      <w:pPr>
        <w:jc w:val="both"/>
        <w:spacing w:after="100" w:line="300" w:lineRule="auto"/>
      </w:pPr>
      <w:r>
        <w:rPr>
          <w:sz w:val="24"/>
          <w:szCs w:val="24"/>
        </w:rPr>
        <w:t xml:space="preserve">Метод — функциональное испытание РМО. Для каждого из четырёх портов изменить N и режим тактирования, включить/отключить P2 и каждую петлю, запустить обе последовательности PRBS; наблюдать исполнение команд. Подать или имитировать DDM и аварийные признаки, задержку и асимметрию; проверить их отображение, включая DDM в дБм и статус P2.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Разработал</w:t>
            </w:r>
            <w:br/>
            <w:r>
              <w:rPr>
                <w:sz w:val="20"/>
                <w:szCs w:val="20"/>
              </w:rPr>
              <w:t xml:space="preserve">[должность, организация разработчика ТЗ]</w:t>
            </w:r>
            <w:br/>
            <w:r>
              <w:rPr>
                <w:sz w:val="20"/>
                <w:szCs w:val="20"/>
              </w:rPr>
              <w:t xml:space="preserve"/>
            </w:r>
            <w:br/>
            <w:r>
              <w:rPr>
                <w:sz w:val="20"/>
                <w:szCs w:val="20"/>
              </w:rPr>
              <w:t xml:space="preserve">__________ [инициалы, фамилия]</w:t>
            </w:r>
            <w:br/>
            <w:r>
              <w:rPr>
                <w:sz w:val="20"/>
                <w:szCs w:val="20"/>
              </w:rPr>
              <w:t xml:space="preserve">«___» __________ 20__ г.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СОГЛАСОВАНО</w:t>
            </w:r>
            <w:br/>
            <w:r>
              <w:rPr>
                <w:sz w:val="20"/>
                <w:szCs w:val="20"/>
              </w:rPr>
              <w:t xml:space="preserve">[должность, головной исполнитель ОКР]</w:t>
            </w:r>
            <w:br/>
            <w:r>
              <w:rPr>
                <w:sz w:val="20"/>
                <w:szCs w:val="20"/>
              </w:rPr>
              <w:t xml:space="preserve"/>
            </w:r>
            <w:br/>
            <w:r>
              <w:rPr>
                <w:sz w:val="20"/>
                <w:szCs w:val="20"/>
              </w:rPr>
              <w:t xml:space="preserve">__________ [инициалы, фамилия]</w:t>
            </w:r>
            <w:br/>
            <w:r>
              <w:rPr>
                <w:sz w:val="20"/>
                <w:szCs w:val="20"/>
              </w:rPr>
              <w:t xml:space="preserve">«___» __________ 20__ г.</w:t>
            </w:r>
          </w:p>
        </w:tc>
        <w:tc>
          <w:tcPr>
            <w:tcW w:w="4500" w:type="dxa"/>
            <w:vAlign w:val="top"/>
          </w:tcPr>
          <w:p>
            <w:pPr>
              <w:spacing w:after="100" w:line="300" w:lineRule="auto"/>
            </w:pPr>
            <w:r>
              <w:rPr>
                <w:sz w:val="20"/>
                <w:szCs w:val="20"/>
              </w:rPr>
              <w:t xml:space="preserve">СОГЛАСОВАНО</w:t>
            </w:r>
            <w:br/>
            <w:r>
              <w:rPr>
                <w:sz w:val="20"/>
                <w:szCs w:val="20"/>
              </w:rPr>
              <w:t xml:space="preserve">[должность, иная согласующая организация]</w:t>
            </w:r>
            <w:br/>
            <w:r>
              <w:rPr>
                <w:sz w:val="20"/>
                <w:szCs w:val="20"/>
              </w:rPr>
              <w:t xml:space="preserve"/>
            </w:r>
            <w:br/>
            <w:r>
              <w:rPr>
                <w:sz w:val="20"/>
                <w:szCs w:val="20"/>
              </w:rPr>
              <w:t xml:space="preserve">__________ [инициалы, фамилия]</w:t>
            </w:r>
            <w:br/>
            <w:r>
              <w:rPr>
                <w:sz w:val="20"/>
                <w:szCs w:val="20"/>
              </w:rPr>
              <w:t xml:space="preserve">«___» __________ 20__ г.</w:t>
            </w:r>
          </w:p>
        </w:tc>
      </w:tr>
    </w:tbl>
    <w:sectPr>
      <w:headerReference w:type="default" r:id="rId1"/>
      <w:pgSz w:w="11906" w:h="16838"/>
      <w:pgMar w:top="1020" w:right="1020" w:bottom="1134" w:left="1417" w:header="400" w:footer="400"/>
      <w:cols w:space="708"/>
      <w:docGrid w:linePitch="36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lang w:val="ru-RU"/>
        <w:sz w:val="24"/>
      </w:rPr>
    </w:rPrDefault>
  </w:docDefaults>
  <w:style w:type="paragraph" w:default="1" w:styleId="Normal">
    <w:name w:val="Обычный"/>
  </w:style>
  <w:style w:type="paragraph" w:styleId="Heading1">
    <w:name w:val="Заголовок 1"/>
    <w:basedOn w:val="Normal"/>
    <w:next w:val="Normal"/>
    <w:qFormat/>
    <w:pPr>
      <w:keepNext/>
    </w:pPr>
  </w:style>
  <w:style w:type="paragraph" w:styleId="Heading2">
    <w:name w:val="Заголовок 2"/>
    <w:basedOn w:val="Normal"/>
    <w:next w:val="Normal"/>
    <w:qFormat/>
    <w:pPr>
      <w:keepNext/>
    </w:pPr>
  </w:style>
  <w:style w:type="paragraph" w:styleId="Heading3">
    <w:name w:val="Заголовок 3"/>
    <w:basedOn w:val="Normal"/>
    <w:next w:val="Normal"/>
    <w:qFormat/>
    <w:pPr>
      <w:keepNext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 OOXML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Техническое задание — Развитие-ТСА</dc:title>
  <dc:language>ru-RU</dc:language>
</cp:coreProperties>
</file>