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w:document xmlns:w="http://schemas.openxmlformats.org/wordprocessingml/2006/main">
  <w:body>
    <w:p>
      <w:pPr>
        <w:spacing w:after="100" w:line="276" w:lineRule="auto"/>
      </w:pPr>
      <w:r>
        <w:rPr>
          <w:b/>
        </w:rPr>
        <w:t>УТВЕРЖДАЮ</w:t>
      </w:r>
    </w:p>
    <w:p>
      <w:pPr>
        <w:spacing w:after="100" w:line="276" w:lineRule="auto"/>
      </w:pPr>
      <w:r>
        <w:rPr/>
        <w:t>Головной исполнитель ОКР</w:t>
      </w:r>
    </w:p>
    <w:p>
      <w:pPr>
        <w:spacing w:after="100" w:line="276" w:lineRule="auto"/>
      </w:pPr>
      <w:r>
        <w:rPr/>
        <w:t>[уточнить]</w:t>
      </w:r>
    </w:p>
    <w:p>
      <w:pPr>
        <w:spacing w:after="100" w:line="276" w:lineRule="auto"/>
      </w:pPr>
      <w:r>
        <w:rPr/>
        <w:t>______________ [уточнить]</w:t>
      </w:r>
    </w:p>
    <w:p>
      <w:pPr>
        <w:spacing w:after="100" w:line="276" w:lineRule="auto"/>
      </w:pPr>
      <w:r>
        <w:rPr/>
        <w:t>«___» __________ 20__ г.</w:t>
      </w:r>
    </w:p>
    <w:p>
      <w:pPr>
        <w:spacing w:after="100" w:line="276" w:lineRule="auto"/>
      </w:pPr>
      <w:r>
        <w:rPr>
          <w:b/>
        </w:rPr>
        <w:t>СОГЛАСОВАНО</w:t>
      </w:r>
    </w:p>
    <w:p>
      <w:pPr>
        <w:spacing w:after="100" w:line="276" w:lineRule="auto"/>
      </w:pPr>
      <w:r>
        <w:rPr/>
        <w:t>Заказчик / НИО заказчика</w:t>
      </w:r>
    </w:p>
    <w:p>
      <w:pPr>
        <w:spacing w:after="100" w:line="276" w:lineRule="auto"/>
      </w:pPr>
      <w:r>
        <w:rPr/>
        <w:t>[уточнить]</w:t>
      </w:r>
    </w:p>
    <w:p>
      <w:pPr>
        <w:spacing w:after="100" w:line="276" w:lineRule="auto"/>
      </w:pPr>
      <w:r>
        <w:rPr/>
        <w:t>______________ [уточнить]</w:t>
      </w:r>
    </w:p>
    <w:p>
      <w:pPr>
        <w:spacing w:after="100" w:line="276" w:lineRule="auto"/>
      </w:pPr>
      <w:r>
        <w:rPr/>
        <w:t>«___» __________ 20__ г.</w:t>
      </w:r>
    </w:p>
    <w:p>
      <w:pPr>
        <w:jc w:val="center"/>
        <w:spacing w:after="100" w:line="276" w:lineRule="auto"/>
      </w:pPr>
      <w:r>
        <w:rPr>
          <w:b/>
        </w:rPr>
        <w:t>ТЕХНИЧЕСКОЕ ЗАДАНИЕ</w:t>
      </w:r>
    </w:p>
    <w:p>
      <w:pPr>
        <w:jc w:val="center"/>
        <w:spacing w:after="100" w:line="276" w:lineRule="auto"/>
      </w:pPr>
      <w:r>
        <w:rPr>
          <w:b/>
        </w:rPr>
        <w:t>на составную часть опытно-конструкторской работы</w:t>
      </w:r>
    </w:p>
    <w:p>
      <w:pPr>
        <w:jc w:val="center"/>
        <w:spacing w:after="100" w:line="276" w:lineRule="auto"/>
      </w:pPr>
      <w:r>
        <w:rPr>
          <w:b/>
        </w:rPr>
        <w:t>Разработка сменной интерфейсной субплаты 4×IEEE C37.94</w:t>
      </w:r>
      <w:r>
        <w:br/>
      </w:r>
      <w:r>
        <w:rPr>
          <w:b/>
        </w:rPr>
        <w:t>и функционального модуля релейной защиты</w:t>
      </w:r>
      <w:r>
        <w:br/>
      </w:r>
      <w:r>
        <w:rPr>
          <w:b/>
        </w:rPr>
        <w:t>для универсального базового модуля AMC семейства ДММП</w:t>
      </w:r>
    </w:p>
    <w:p>
      <w:pPr>
        <w:jc w:val="center"/>
        <w:spacing w:after="100" w:line="276" w:lineRule="auto"/>
      </w:pPr>
      <w:r>
        <w:rPr/>
        <w:t>Шифр ОКР «Развитие-ТСА»</w:t>
      </w:r>
    </w:p>
    <w:p>
      <w:pPr>
        <w:jc w:val="center"/>
        <w:spacing w:after="100" w:line="276" w:lineRule="auto"/>
      </w:pPr>
      <w:r>
        <w:rPr/>
        <w:t>Обозначение документа: [уточнить]</w:t>
      </w:r>
    </w:p>
    <w:p>
      <w:pPr>
        <w:jc w:val="center"/>
        <w:spacing w:after="100" w:line="276" w:lineRule="auto"/>
      </w:pPr>
      <w:r>
        <w:rPr/>
        <w:t>[место составления — уточнить]</w:t>
      </w:r>
      <w:r>
        <w:br/>
      </w:r>
      <w:r>
        <w:rPr/>
        <w:t>20__ г.</w:t>
      </w:r>
    </w:p>
    <w:p>
      <w:pPr>
        <w:pageBreakBefore/>
        <w:spacing w:after="100" w:line="276" w:lineRule="auto"/>
      </w:pPr>
    </w:p>
    <w:p>
      <w:pPr>
        <w:pStyle w:val="Heading1"/>
        <w:jc w:val="center"/>
        <w:spacing w:after="100" w:line="276" w:lineRule="auto"/>
      </w:pPr>
      <w:r>
        <w:rPr/>
        <w:t>Лист согласования</w:t>
      </w:r>
    </w:p>
    <w:p>
      <w:pPr>
        <w:spacing w:after="100" w:line="276" w:lineRule="auto"/>
      </w:pPr>
      <w:r>
        <w:rPr/>
        <w:t>ТЗ на составную часть ОКР «Развитие-ТСА». Реквизиты согласования приведены в соответствии с назначением данного листа; сведения, отсутствующие в исходных данных, не подтверждены.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18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Организация / роль</w:t>
            </w:r>
          </w:p>
        </w:tc>
        <w:tc>
          <w:tcPr>
            <w:tcW w:w="18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Должность</w:t>
            </w:r>
          </w:p>
        </w:tc>
        <w:tc>
          <w:tcPr>
            <w:tcW w:w="18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Фамилия, инициалы</w:t>
            </w:r>
          </w:p>
        </w:tc>
        <w:tc>
          <w:tcPr>
            <w:tcW w:w="18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Подпись</w:t>
            </w:r>
          </w:p>
        </w:tc>
        <w:tc>
          <w:tcPr>
            <w:tcW w:w="18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Дата</w:t>
            </w:r>
          </w:p>
        </w:tc>
      </w:tr>
      <w:tr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Заказчик либо НИО заказчика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______________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«___» ______ 20__ г.</w:t>
            </w:r>
          </w:p>
        </w:tc>
      </w:tr>
      <w:tr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Исполнитель СЧ ОКР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______________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«___» ______ 20__ г.</w:t>
            </w:r>
          </w:p>
        </w:tc>
      </w:tr>
      <w:tr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Другая организация (при решении заказчика или головного исполнителя ОКР, согласованном с заказчиком)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______________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«___» ______ 20__ г.</w:t>
            </w:r>
          </w:p>
        </w:tc>
      </w:tr>
    </w:tbl>
    <w:p>
      <w:pPr>
        <w:spacing w:after="100" w:line="276" w:lineRule="auto"/>
      </w:pPr>
      <w:r>
        <w:rPr/>
        <w:t>Примечание — ТЗ на СЧ ОКР согласовывают и утверждают в порядке ГОСТ 15.016—2016, 7.2; для инициативной разработки применим установленный разработчиком порядок (5.2).</w:t>
      </w:r>
    </w:p>
    <w:p>
      <w:pPr>
        <w:pageBreakBefore/>
        <w:spacing w:after="100" w:line="276" w:lineRule="auto"/>
      </w:pPr>
    </w:p>
    <w:p>
      <w:pPr>
        <w:pStyle w:val="Heading1"/>
        <w:jc w:val="center"/>
        <w:spacing w:after="100" w:line="276" w:lineRule="auto"/>
      </w:pPr>
      <w:r>
        <w:rPr/>
        <w:t>Перечень обозначений, терминов и сокращений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45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Обозначение (термин)</w:t>
            </w:r>
          </w:p>
        </w:tc>
        <w:tc>
          <w:tcPr>
            <w:tcW w:w="45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Раскрытие / значение в настоящем ТЗ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AMC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Advanced Mezzanine Card; форм-фактор модуля по PICMG AMC.0 R2.0.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B2B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Межплатное соединение (board-to-board) субплаты с базовой платой.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Board ID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 xml:space="preserve">Идентификатор платы, записываемый в EEPROM; для субплаты — </w:t>
            </w:r>
            <w:r>
              <w:rPr>
                <w:rFonts w:ascii="Courier New" w:hAnsi="Courier New"/>
              </w:rPr>
              <w:t>0x05</w:t>
            </w:r>
            <w:r>
              <w:rPr/>
              <w:t>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CDR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Восстановление тактовой частоты и данных (clock and data recovery) трансивером.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DDM/DOM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Цифровой диагностический мониторинг / цифровой оптический мониторинг параметров трансивера.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EEPROM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Электрически стираемая программируемая постоянная память.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Flash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Энергонезависимая память базовой платы для автоматической загрузки bitstream.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I2C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Последовательная шина опроса DDM/DOM согласно SFF-8472.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MMC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Контроллер управления модулем (Module Management Controller), предоставляемый базовой платой.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MTBF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Средняя наработка на отказ.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N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Количество каналов 64 кбит/с на одном оптическом порту; N = 1…12.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P2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Hitless 1+1: передача двух идентичных копий по независимым трактам с поштучной дедупликацией.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PDV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Вариация задержки пакетов (packet delay variation).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ПЛИС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Программируемая логическая интегральная схема.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PTPv2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Версия 2 Precision Time Protocol; режим тактирования порта.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PRBS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Псевдослучайная двоичная последовательность.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РЗА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Релейная защита и автоматика.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ДЗЛ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Дифференциальная защита линии.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ДФЗ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Дифференциально-фазная защита.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РМО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Рабочее место оператора; потребитель телеметрии и отчётов.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ОКР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Опытно-конструкторская работа.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РКД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Рабочая конструкторская документация.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ПМИ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Программа и методика испытаний.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SoC FPGA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ПЛИС с процессорным ядром (system-on-chip FPGA).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SFP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Малогабаритный подключаемый оптический трансивер.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TCLK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Тактовый сигнал 19,44 МГц.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TX/RX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Передача / приём оптического сигнала.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TX_DISABLE, TX_FAULT, RX_LOS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Линии управления передачей, индикации неисправности передатчика и потери оптического сигнала.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LOS / LOF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Потеря оптического сигнала / потеря кадрирования.</w:t>
            </w:r>
          </w:p>
        </w:tc>
      </w:tr>
    </w:tbl>
    <w:p>
      <w:pPr>
        <w:pStyle w:val="Heading1"/>
        <w:jc w:val="center"/>
        <w:spacing w:after="100" w:line="276" w:lineRule="auto"/>
      </w:pPr>
      <w:r>
        <w:rPr/>
        <w:t>Перечень применимых нормативных и справочных документов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45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Документ</w:t>
            </w:r>
          </w:p>
        </w:tc>
        <w:tc>
          <w:tcPr>
            <w:tcW w:w="45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Применение в настоящем ТЗ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ГОСТ 15.016—2016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Построение, содержание, изложение и оформление ТЗ на составную часть ОКР: 6.1, 6.2.1–6.2.3, 7.1.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IEEE C37.94-2017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Оптический интерфейс и передача каналов; требуется совместимость с IEEE C37.94-2002.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IEEE C37.94-2002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Требование совместимости.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ITU-T G.823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Требования к джиттеру/вандеру.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SFF-8472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Опрос DDM/DOM по I2C.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IEEE 802.1p/Q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Strict Priority QoS для Ethernet L2.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PICMG AMC.0 R2.0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Форм-фактор Single Full-size AMC.0.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ГОСТ РВ 20.39.304-98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Стойкость: группы 1.1, 1.3, 1.4.1; исполнение «О».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ГОСТ В 25803-91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Радиопомехи: группа 1.1.1.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ГОСТ 2.114-2016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Применимый документ по исходным требованиям.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ГОСТ РВ 15.201-2003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Применимый документ по исходным требованиям.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ГОСТ 15150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Хранение в заводской таре.</w:t>
            </w:r>
          </w:p>
        </w:tc>
      </w:tr>
      <w:tr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ГОСТ 2.105</w:t>
            </w:r>
          </w:p>
        </w:tc>
        <w:tc>
          <w:tcPr>
            <w:tcW w:w="4500" w:type="dxa"/>
          </w:tcPr>
          <w:p>
            <w:pPr>
              <w:spacing w:after="100" w:line="276" w:lineRule="auto"/>
            </w:pPr>
            <w:r>
              <w:rPr/>
              <w:t>Оформление текстового документа согласно ГОСТ 15.016—2016, 6.2.1.</w:t>
            </w:r>
          </w:p>
        </w:tc>
      </w:tr>
    </w:tbl>
    <w:p>
      <w:pPr>
        <w:pStyle w:val="Heading1"/>
        <w:jc w:val="center"/>
        <w:spacing w:after="100" w:line="276" w:lineRule="auto"/>
      </w:pPr>
      <w:r>
        <w:rPr/>
        <w:t>1 Наименование, шифр, основание, исполнители и сроки ОКР</w:t>
      </w:r>
    </w:p>
    <w:p>
      <w:pPr>
        <w:spacing w:after="100" w:line="276" w:lineRule="auto"/>
      </w:pPr>
      <w:r>
        <w:rPr>
          <w:b/>
        </w:rPr>
        <w:t>1.1</w:t>
      </w:r>
      <w:r>
        <w:rPr/>
        <w:t xml:space="preserve"> Наименование составной части ОКР: «Разработка сменной интерфейсной субплаты 4×IEEE C37.94 и функционального модуля релейной защиты для универсального базового модуля AMC семейства ДММП». Шифр ОКР — «Развитие-ТСА».</w:t>
      </w:r>
    </w:p>
    <w:p>
      <w:pPr>
        <w:spacing w:after="100" w:line="276" w:lineRule="auto"/>
      </w:pPr>
      <w:r>
        <w:rPr>
          <w:b/>
        </w:rPr>
        <w:t>1.2</w:t>
      </w:r>
      <w:r>
        <w:rPr/>
        <w:t xml:space="preserve"> Основание выполнения — приказ об открытии инициативной ОКР № </w:t>
      </w:r>
      <w:r>
        <w:rPr>
          <w:b/>
        </w:rPr>
        <w:t>[уточнить]</w:t>
      </w:r>
      <w:r>
        <w:rPr/>
        <w:t xml:space="preserve"> от </w:t>
      </w:r>
      <w:r>
        <w:rPr>
          <w:b/>
        </w:rPr>
        <w:t>[уточнить]</w:t>
      </w:r>
      <w:r>
        <w:rPr/>
        <w:t>.</w:t>
      </w:r>
    </w:p>
    <w:p>
      <w:pPr>
        <w:spacing w:after="100" w:line="276" w:lineRule="auto"/>
      </w:pPr>
      <w:r>
        <w:rPr>
          <w:b/>
        </w:rPr>
        <w:t>1.3</w:t>
      </w:r>
      <w:r>
        <w:rPr/>
        <w:t xml:space="preserve"> Исполнитель СЧ ОКР — </w:t>
      </w:r>
      <w:r>
        <w:rPr>
          <w:b/>
        </w:rPr>
        <w:t>[организация-исполнитель]</w:t>
      </w:r>
      <w:r>
        <w:rPr/>
        <w:t xml:space="preserve">. Головной исполнитель ОКР — </w:t>
      </w:r>
      <w:r>
        <w:rPr>
          <w:b/>
        </w:rPr>
        <w:t>[уточнить]</w:t>
      </w:r>
      <w:r>
        <w:rPr/>
        <w:t>.</w:t>
      </w:r>
    </w:p>
    <w:p>
      <w:pPr>
        <w:spacing w:after="100" w:line="276" w:lineRule="auto"/>
      </w:pPr>
      <w:r>
        <w:rPr>
          <w:b/>
        </w:rPr>
        <w:t>1.4</w:t>
      </w:r>
      <w:r>
        <w:rPr/>
        <w:t xml:space="preserve"> Сроки разработки РКД, программной документации, изготовления образцов и испытаний должны быть увязаны с утверждённым планом-графиком. Даты и сроки — </w:t>
      </w:r>
      <w:r>
        <w:rPr>
          <w:b/>
        </w:rPr>
        <w:t>[уточнить]</w:t>
      </w:r>
      <w:r>
        <w:rPr/>
        <w:t>.</w:t>
      </w:r>
    </w:p>
    <w:p>
      <w:pPr>
        <w:spacing w:after="100" w:line="276" w:lineRule="auto"/>
      </w:pPr>
      <w:r>
        <w:rPr>
          <w:b/>
        </w:rPr>
        <w:t>Проверка.</w:t>
      </w:r>
      <w:r>
        <w:rPr/>
        <w:t xml:space="preserve"> Инспекцией приказа, план-графика и комплектов РКД/программной документации подтверждают наличие основания, исполнителя и увязку сроков. Номер приказа, даты и состав утверждённого плана-графика отсутствуют.</w:t>
      </w:r>
    </w:p>
    <w:p>
      <w:pPr>
        <w:pStyle w:val="Heading1"/>
        <w:jc w:val="center"/>
        <w:spacing w:after="100" w:line="276" w:lineRule="auto"/>
      </w:pPr>
      <w:r>
        <w:rPr/>
        <w:t>2 Цель выполнения, наименование, назначение и область применения изделия</w:t>
      </w:r>
    </w:p>
    <w:p>
      <w:pPr>
        <w:spacing w:after="100" w:line="276" w:lineRule="auto"/>
      </w:pPr>
      <w:r>
        <w:rPr>
          <w:b/>
        </w:rPr>
        <w:t>2.1</w:t>
      </w:r>
      <w:r>
        <w:rPr/>
        <w:t xml:space="preserve"> Цель — разработка сменной интерфейсной субплаты 4×IEEE C37.94 и функционального модуля релейной защиты для универсального базового модуля AMC семейства ДММП.</w:t>
      </w:r>
    </w:p>
    <w:p>
      <w:pPr>
        <w:spacing w:after="100" w:line="276" w:lineRule="auto"/>
      </w:pPr>
      <w:r>
        <w:rPr>
          <w:b/>
        </w:rPr>
        <w:t>2.2</w:t>
      </w:r>
      <w:r>
        <w:rPr/>
        <w:t xml:space="preserve"> Изделие должно обеспечивать для терминалов РЗА/ДЗЛ и ДФЗ, противоаварийной автоматики и регистраторов аварийных событий подстанций ДММП оптические каналы прозрачной передачи N×64 кбит/с с фиксированной низкой задержкой, симметрией, резервированием P2 и безопасным аварийным поведением.</w:t>
      </w:r>
    </w:p>
    <w:p>
      <w:pPr>
        <w:spacing w:after="100" w:line="276" w:lineRule="auto"/>
      </w:pPr>
      <w:r>
        <w:rPr>
          <w:b/>
        </w:rPr>
        <w:t>2.3</w:t>
      </w:r>
      <w:r>
        <w:rPr/>
        <w:t xml:space="preserve"> Аппаратная часть должна включать субплату, интерфейсы, защиту, трансиверы и EEPROM. Логическая часть — функциональный модуль ПЛИС базовой платы, автоматически активируемый по Board ID.</w:t>
      </w:r>
    </w:p>
    <w:p>
      <w:pPr>
        <w:spacing w:after="100" w:line="276" w:lineRule="auto"/>
      </w:pPr>
      <w:r>
        <w:rPr>
          <w:b/>
        </w:rPr>
        <w:t>2.4</w:t>
      </w:r>
      <w:r>
        <w:rPr/>
        <w:t xml:space="preserve"> AMC должна устанавливаться на Carrier платформы ДММП.</w:t>
      </w:r>
    </w:p>
    <w:p>
      <w:pPr>
        <w:spacing w:after="100" w:line="276" w:lineRule="auto"/>
      </w:pPr>
      <w:r>
        <w:rPr>
          <w:b/>
        </w:rPr>
        <w:t>Проверка.</w:t>
      </w:r>
      <w:r>
        <w:rPr/>
        <w:t xml:space="preserve"> Инспекцией состава изделия, установки AMC на Carrier и идентификации Board ID подтверждают требования 2.1–2.4. Количественный критерий «низкой задержки» установлен в 3.2.2; абсолютная задержка не задана.</w:t>
      </w:r>
    </w:p>
    <w:p>
      <w:pPr>
        <w:pStyle w:val="Heading1"/>
        <w:jc w:val="center"/>
        <w:spacing w:after="100" w:line="276" w:lineRule="auto"/>
      </w:pPr>
      <w:r>
        <w:rPr/>
        <w:t>3 Технические требования к изделию</w:t>
      </w:r>
    </w:p>
    <w:p>
      <w:pPr>
        <w:pStyle w:val="Heading2"/>
        <w:spacing w:after="100" w:line="276" w:lineRule="auto"/>
      </w:pPr>
      <w:r>
        <w:rPr/>
        <w:t>3.1 Архитектура и оптические интерфейсы</w:t>
      </w:r>
    </w:p>
    <w:p>
      <w:pPr>
        <w:spacing w:after="100" w:line="276" w:lineRule="auto"/>
      </w:pPr>
      <w:r>
        <w:rPr>
          <w:b/>
        </w:rPr>
        <w:t>3.1.1</w:t>
      </w:r>
      <w:r>
        <w:rPr/>
        <w:t xml:space="preserve"> Субплата должна иметь четыре независимых оптических порта LC/SFP, трансиверы 850/1310 нм с CDR, защитные цепи, DDM/DOM, EEPROM с Board ID </w:t>
      </w:r>
      <w:r>
        <w:rPr>
          <w:rFonts w:ascii="Courier New" w:hAnsi="Courier New"/>
        </w:rPr>
        <w:t>0x05</w:t>
      </w:r>
      <w:r>
        <w:rPr/>
        <w:t xml:space="preserve"> и индикацию.</w:t>
      </w:r>
    </w:p>
    <w:p>
      <w:pPr>
        <w:spacing w:after="100" w:line="276" w:lineRule="auto"/>
      </w:pPr>
      <w:r>
        <w:rPr>
          <w:b/>
        </w:rPr>
        <w:t>3.1.2</w:t>
      </w:r>
      <w:r>
        <w:rPr/>
        <w:t xml:space="preserve"> Связь субплаты с базовой платой должна выполняться по B2B. Базовая плата должна предоставлять +12 В, +3,3 В, MMC, тактирование и автоматическую загрузку bitstream из Flash по Board ID.</w:t>
      </w:r>
    </w:p>
    <w:p>
      <w:pPr>
        <w:spacing w:after="100" w:line="276" w:lineRule="auto"/>
      </w:pPr>
      <w:r>
        <w:rPr>
          <w:b/>
        </w:rPr>
        <w:t>3.1.3</w:t>
      </w:r>
      <w:r>
        <w:rPr/>
        <w:t xml:space="preserve"> Должны быть предусмотрены четыре экранированные корзины SFP / дуплексные LC с отдельными волокнами TX/RX. Исполнение LC/SFP является альтернативным; окончательное исполнение — </w:t>
      </w:r>
      <w:r>
        <w:rPr>
          <w:b/>
        </w:rPr>
        <w:t>[уточнить]</w:t>
      </w:r>
      <w:r>
        <w:rPr/>
        <w:t>.</w:t>
      </w:r>
    </w:p>
    <w:p>
      <w:pPr>
        <w:spacing w:after="100" w:line="276" w:lineRule="auto"/>
      </w:pPr>
      <w:r>
        <w:rPr>
          <w:b/>
        </w:rPr>
        <w:t>3.1.4</w:t>
      </w:r>
      <w:r>
        <w:rPr/>
        <w:t xml:space="preserve"> Для оптики 850 нм должны поддерживаться многомодовые волокна 50/125 или 62,5/125 мкм на расстоянии до 2 км. Для оптики 1310 нм должно поддерживаться одномодовое волокно 9/125 мкм на расстоянии 20–40 км.</w:t>
      </w:r>
    </w:p>
    <w:p>
      <w:pPr>
        <w:spacing w:after="100" w:line="276" w:lineRule="auto"/>
      </w:pPr>
      <w:r>
        <w:rPr>
          <w:b/>
        </w:rPr>
        <w:t>3.1.5</w:t>
      </w:r>
      <w:r>
        <w:rPr/>
        <w:t xml:space="preserve"> Должны быть предусмотрены линии </w:t>
      </w:r>
      <w:r>
        <w:rPr>
          <w:rFonts w:ascii="Courier New" w:hAnsi="Courier New"/>
        </w:rPr>
        <w:t>TX_DISABLE</w:t>
      </w:r>
      <w:r>
        <w:rPr/>
        <w:t xml:space="preserve">, </w:t>
      </w:r>
      <w:r>
        <w:rPr>
          <w:rFonts w:ascii="Courier New" w:hAnsi="Courier New"/>
        </w:rPr>
        <w:t>TX_FAULT</w:t>
      </w:r>
      <w:r>
        <w:rPr/>
        <w:t xml:space="preserve">, </w:t>
      </w:r>
      <w:r>
        <w:rPr>
          <w:rFonts w:ascii="Courier New" w:hAnsi="Courier New"/>
        </w:rPr>
        <w:t>RX_LOS</w:t>
      </w:r>
      <w:r>
        <w:rPr/>
        <w:t>; опрос DDM/DOM по I2C согласно SFF-8472; контроль мощности TX/RX, температуры и тока лазера с передачей телеметрии в РМО.</w:t>
      </w:r>
    </w:p>
    <w:p>
      <w:pPr>
        <w:spacing w:after="100" w:line="276" w:lineRule="auto"/>
      </w:pPr>
      <w:r>
        <w:rPr>
          <w:b/>
        </w:rPr>
        <w:t>3.1.6</w:t>
      </w:r>
      <w:r>
        <w:rPr/>
        <w:t xml:space="preserve"> На каждом порту независимо должна поддерживаться передача N = 1…12 каналов по 64 кбит/с; полезная скорость — 64–768 кбит/с, кадровый поток — 2048 кбит/с.</w:t>
      </w:r>
    </w:p>
    <w:p>
      <w:pPr>
        <w:spacing w:after="100" w:line="276" w:lineRule="auto"/>
      </w:pPr>
      <w:r>
        <w:rPr>
          <w:b/>
        </w:rPr>
        <w:t>3.1.7</w:t>
      </w:r>
      <w:r>
        <w:rPr/>
        <w:t xml:space="preserve"> Должно обеспечиваться соответствие IEEE C37.94-2017 и совместимость с IEEE C37.94-2002. Пользовательские биты не должны изменяться или инвертироваться.</w:t>
      </w:r>
    </w:p>
    <w:p>
      <w:pPr>
        <w:spacing w:after="100" w:line="276" w:lineRule="auto"/>
      </w:pPr>
      <w:r>
        <w:rPr>
          <w:b/>
        </w:rPr>
        <w:t>Проверка.</w:t>
      </w:r>
      <w:r>
        <w:rPr/>
        <w:t xml:space="preserve"> Инспекцией субплаты и документации, чтением EEPROM, проверкой B2B и автоматической загрузки bitstream, а также испытаниями каждого из четырёх портов подтверждают 3.1.1–3.1.7. Для 850 нм проверяют указанные типы MM-волокна и расстояние до 2 км; для 1310 нм — SM 9/125 мкм и диапазон 20–40 км. Проверяют N = 1 и N = 12, скорости 64 и 768 кбит/с, кадровый поток 2048 кбит/с, сохранность пользовательских битов, DDM/DOM и телеметрию. Методика совместимости и измерительные погрешности — </w:t>
      </w:r>
      <w:r>
        <w:rPr>
          <w:b/>
        </w:rPr>
        <w:t>[уточнить]</w:t>
      </w:r>
      <w:r>
        <w:rPr/>
        <w:t>.</w:t>
      </w:r>
    </w:p>
    <w:p>
      <w:pPr>
        <w:pStyle w:val="Heading2"/>
        <w:spacing w:after="100" w:line="276" w:lineRule="auto"/>
      </w:pPr>
      <w:r>
        <w:rPr/>
        <w:t>3.2 Пакетная передача, резервирование и безопасные состояния</w:t>
      </w:r>
    </w:p>
    <w:p>
      <w:pPr>
        <w:spacing w:after="100" w:line="276" w:lineRule="auto"/>
      </w:pPr>
      <w:r>
        <w:rPr>
          <w:b/>
        </w:rPr>
        <w:t>3.2.1</w:t>
      </w:r>
      <w:r>
        <w:rPr/>
        <w:t xml:space="preserve"> C37.94-over-Packet должна использовать Ethernet L2, фиксированный период пакетизации, Fabric 10GbE и Strict Priority QoS по IEEE 802.1p/Q. Применение L3/UDP/IP допускается при необходимости с процессорным ядром SoC FPGA либо со статической аппаратной подстановкой заголовка.</w:t>
      </w:r>
    </w:p>
    <w:p>
      <w:pPr>
        <w:spacing w:after="100" w:line="276" w:lineRule="auto"/>
      </w:pPr>
      <w:r>
        <w:rPr>
          <w:b/>
        </w:rPr>
        <w:t>3.2.2</w:t>
      </w:r>
      <w:r>
        <w:rPr/>
        <w:t xml:space="preserve"> Задержка должна быть фиксированной и детерминированной. Асимметрия прямого и обратного направлений не должна превышать ±10 мкс во всём диапазоне температур и сетевой нагрузки.</w:t>
      </w:r>
    </w:p>
    <w:p>
      <w:pPr>
        <w:spacing w:after="100" w:line="276" w:lineRule="auto"/>
      </w:pPr>
      <w:r>
        <w:rPr>
          <w:b/>
        </w:rPr>
        <w:t>3.2.3</w:t>
      </w:r>
      <w:r>
        <w:rPr/>
        <w:t xml:space="preserve"> Независимый джиттер-буфер должен компенсировать PDV без выпадения кадров.</w:t>
      </w:r>
    </w:p>
    <w:p>
      <w:pPr>
        <w:spacing w:after="100" w:line="276" w:lineRule="auto"/>
      </w:pPr>
      <w:r>
        <w:rPr>
          <w:b/>
        </w:rPr>
        <w:t>3.2.4</w:t>
      </w:r>
      <w:r>
        <w:rPr/>
        <w:t xml:space="preserve"> Ретрансляция потерянных пакетов запрещается. Единичный пропуск должен фиксироваться как ошибка и обозначаться Yellow Alarm / LOF. Превышение настраиваемого порога последовательных потерь должно вызывать Laser Off. Число потерь, значение порога и абсолютная задержка — </w:t>
      </w:r>
      <w:r>
        <w:rPr>
          <w:b/>
        </w:rPr>
        <w:t>[уточнить]</w:t>
      </w:r>
      <w:r>
        <w:rPr/>
        <w:t>.</w:t>
      </w:r>
    </w:p>
    <w:p>
      <w:pPr>
        <w:spacing w:after="100" w:line="276" w:lineRule="auto"/>
      </w:pPr>
      <w:r>
        <w:rPr>
          <w:b/>
        </w:rPr>
        <w:t>3.2.5</w:t>
      </w:r>
      <w:r>
        <w:rPr/>
        <w:t xml:space="preserve"> P2 (Hitless 1+1) должна передавать две идентичные копии по независимым трактам с поштучной дедупликацией и без потери битов при отказе одного пути.</w:t>
      </w:r>
    </w:p>
    <w:p>
      <w:pPr>
        <w:spacing w:after="100" w:line="276" w:lineRule="auto"/>
      </w:pPr>
      <w:r>
        <w:rPr>
          <w:b/>
        </w:rPr>
        <w:t>3.2.6</w:t>
      </w:r>
      <w:r>
        <w:rPr/>
        <w:t xml:space="preserve"> При LOS/LOF либо потере сетевого тракта должно формироваться Yellow Alarm или выполняться немедленное Laser Off. Не допускаются недостоверные, случайные и повторно воспроизведённые устаревшие данные РЗА. Условия выбора безопасного состояния при сохранении второго пути — </w:t>
      </w:r>
      <w:r>
        <w:rPr>
          <w:b/>
        </w:rPr>
        <w:t>[уточнить]</w:t>
      </w:r>
      <w:r>
        <w:rPr/>
        <w:t>.</w:t>
      </w:r>
    </w:p>
    <w:p>
      <w:pPr>
        <w:spacing w:after="100" w:line="276" w:lineRule="auto"/>
      </w:pPr>
      <w:r>
        <w:rPr>
          <w:b/>
        </w:rPr>
        <w:t>Проверка.</w:t>
      </w:r>
      <w:r>
        <w:rPr/>
        <w:t xml:space="preserve"> Испытаниями Ethernet L2 с фиксированным периодом пакетизации, Fabric 10GbE и Strict Priority QoS подтверждают 3.2.1. Измерением в прямом и обратном направлениях во всём диапазоне температур и сетевой нагрузки подтверждают асимметрию не более ±10 мкс; значение абсолютной задержки и погрешность измерения — </w:t>
      </w:r>
      <w:r>
        <w:rPr>
          <w:b/>
        </w:rPr>
        <w:t>[уточнить]</w:t>
      </w:r>
      <w:r>
        <w:rPr/>
        <w:t xml:space="preserve">. Вводом PDV, единичного пропуска, потерь сверх настраиваемого порога, LOS, LOF, потери сетевого тракта и отказа одного P2-пути проверяют соответственно отсутствие выпадения кадров, Yellow Alarm/LOF, Laser Off, отсутствие потери битов и отсутствие недостоверных, случайных либо устаревших данных. Параметры PDV, порог последовательных потерь и правило выбора Yellow Alarm/Laser Off при сохранении второго пути — </w:t>
      </w:r>
      <w:r>
        <w:rPr>
          <w:b/>
        </w:rPr>
        <w:t>[уточнить]</w:t>
      </w:r>
      <w:r>
        <w:rPr/>
        <w:t>.</w:t>
      </w:r>
    </w:p>
    <w:p>
      <w:pPr>
        <w:pStyle w:val="Heading2"/>
        <w:spacing w:after="100" w:line="276" w:lineRule="auto"/>
      </w:pPr>
      <w:r>
        <w:rPr/>
        <w:t>3.3 Тактирование, диагностика и конструкция</w:t>
      </w:r>
    </w:p>
    <w:p>
      <w:pPr>
        <w:spacing w:after="100" w:line="276" w:lineRule="auto"/>
      </w:pPr>
      <w:r>
        <w:rPr>
          <w:b/>
        </w:rPr>
        <w:t>3.3.1</w:t>
      </w:r>
      <w:r>
        <w:rPr/>
        <w:t xml:space="preserve"> Для каждого порта должны быть предусмотрены режимы тактирования: Loop timing от входного сигнала, TCLK 19,44 МГц, PTPv2 и локальный Holdover.</w:t>
      </w:r>
    </w:p>
    <w:p>
      <w:pPr>
        <w:spacing w:after="100" w:line="276" w:lineRule="auto"/>
      </w:pPr>
      <w:r>
        <w:rPr>
          <w:b/>
        </w:rPr>
        <w:t>3.3.2</w:t>
      </w:r>
      <w:r>
        <w:rPr/>
        <w:t xml:space="preserve"> Восстановленный сигнал 2048 кГц выбранного порта должен выдаваться в </w:t>
      </w:r>
      <w:r>
        <w:rPr>
          <w:rFonts w:ascii="Courier New" w:hAnsi="Courier New"/>
        </w:rPr>
        <w:t>RX_CLK</w:t>
      </w:r>
      <w:r>
        <w:rPr/>
        <w:t>. Джиттер/вандер должны соответствовать ITU-T G.823.</w:t>
      </w:r>
    </w:p>
    <w:p>
      <w:pPr>
        <w:spacing w:after="100" w:line="276" w:lineRule="auto"/>
      </w:pPr>
      <w:r>
        <w:rPr>
          <w:b/>
        </w:rPr>
        <w:t>3.3.3</w:t>
      </w:r>
      <w:r>
        <w:rPr/>
        <w:t xml:space="preserve"> Должны контролироваться LOS, LOF, Yellow Alarm, битовые ошибки и DDM. На каждом порту должны быть предусмотрены Optical Loopback, Payload Loopback, Ethernet Packet Loopback, а также генератор/анализатор PRBS 2</w:t>
      </w:r>
      <w:r>
        <w:rPr>
          <w:vertAlign w:val="superscript"/>
        </w:rPr>
        <w:t>15</w:t>
      </w:r>
      <w:r>
        <w:rPr/>
        <w:t>−1 и 2</w:t>
      </w:r>
      <w:r>
        <w:rPr>
          <w:vertAlign w:val="superscript"/>
        </w:rPr>
        <w:t>23</w:t>
      </w:r>
      <w:r>
        <w:rPr/>
        <w:t>−1.</w:t>
      </w:r>
    </w:p>
    <w:p>
      <w:pPr>
        <w:spacing w:after="100" w:line="276" w:lineRule="auto"/>
      </w:pPr>
      <w:r>
        <w:rPr>
          <w:b/>
        </w:rPr>
        <w:t>3.3.4</w:t>
      </w:r>
      <w:r>
        <w:rPr/>
        <w:t xml:space="preserve"> Потребляемая мощность субплаты должна быть не более 12 Вт; потребляемая мощность сборки с базовой платой — не более 35 Вт.</w:t>
      </w:r>
    </w:p>
    <w:p>
      <w:pPr>
        <w:spacing w:after="100" w:line="276" w:lineRule="auto"/>
      </w:pPr>
      <w:r>
        <w:rPr>
          <w:b/>
        </w:rPr>
        <w:t>3.3.5</w:t>
      </w:r>
      <w:r>
        <w:rPr/>
        <w:t xml:space="preserve"> Конструктивное исполнение — Single Full-size AMC.0, 73,5 × 180,6 × 28,95 мм. Межплатное крепление должно выполняться на 4–6 металлических стойках М2,5.</w:t>
      </w:r>
    </w:p>
    <w:p>
      <w:pPr>
        <w:spacing w:after="100" w:line="276" w:lineRule="auto"/>
      </w:pPr>
      <w:r>
        <w:rPr>
          <w:b/>
        </w:rPr>
        <w:t>3.3.6</w:t>
      </w:r>
      <w:r>
        <w:rPr/>
        <w:t xml:space="preserve"> Стойкость должна соответствовать ГОСТ РВ 20.39.304-98: группы 1.1, 1.3, 1.4.1, исполнение «О»; рабочая температура −10…+50 °C; предельная температура −40…+65 °C; синусоидальная вибрация 5g; удары 15g. Радиопомехи — группа 1.1.1 ГОСТ В 25803-91.</w:t>
      </w:r>
    </w:p>
    <w:p>
      <w:pPr>
        <w:spacing w:after="100" w:line="276" w:lineRule="auto"/>
      </w:pPr>
      <w:r>
        <w:rPr>
          <w:b/>
        </w:rPr>
        <w:t>3.3.7</w:t>
      </w:r>
      <w:r>
        <w:rPr/>
        <w:t xml:space="preserve"> MTBF должен быть не менее 15 000 ч. Назначенный срок службы должен быть не менее 20 лет.</w:t>
      </w:r>
    </w:p>
    <w:p>
      <w:pPr>
        <w:spacing w:after="100" w:line="276" w:lineRule="auto"/>
      </w:pPr>
      <w:r>
        <w:rPr>
          <w:b/>
        </w:rPr>
        <w:t>Проверка.</w:t>
      </w:r>
      <w:r>
        <w:rPr/>
        <w:t xml:space="preserve"> Испытаниями каждого порта в режимах Loop timing, TCLK 19,44 МГц, PTPv2 и локального Holdover подтверждают выдачу 2048 кГц выбранного порта в RX_CLK и соответствие джиттера/вандера ITU-T G.823. Инспекцией и испытаниями подтверждают контроль диагностических признаков, три вида петель и PRBS 2</w:t>
      </w:r>
      <w:r>
        <w:rPr>
          <w:vertAlign w:val="superscript"/>
        </w:rPr>
        <w:t>15</w:t>
      </w:r>
      <w:r>
        <w:rPr/>
        <w:t>−1/2</w:t>
      </w:r>
      <w:r>
        <w:rPr>
          <w:vertAlign w:val="superscript"/>
        </w:rPr>
        <w:t>23</w:t>
      </w:r>
      <w:r>
        <w:rPr/>
        <w:t xml:space="preserve">−1. Измерением проверяют мощность не более 12 Вт и не более 35 Вт, габариты, 4–6 стоек М2,5, а также стойкость, температуры, вибрацию, удары и радиопомехи по указанным документам. Оценкой показателей надёжности подтверждают MTBF и назначенный срок службы. Методики, погрешности измерений и условия оценки MTBF/срока службы — </w:t>
      </w:r>
      <w:r>
        <w:rPr>
          <w:b/>
        </w:rPr>
        <w:t>[уточнить]</w:t>
      </w:r>
      <w:r>
        <w:rPr/>
        <w:t>.</w:t>
      </w:r>
    </w:p>
    <w:p>
      <w:pPr>
        <w:pStyle w:val="Heading1"/>
        <w:jc w:val="center"/>
        <w:spacing w:after="100" w:line="276" w:lineRule="auto"/>
      </w:pPr>
      <w:r>
        <w:rPr/>
        <w:t>4 Технико-экономические требования</w:t>
      </w:r>
    </w:p>
    <w:p>
      <w:pPr>
        <w:spacing w:after="100" w:line="276" w:lineRule="auto"/>
      </w:pPr>
      <w:r>
        <w:rPr>
          <w:b/>
        </w:rPr>
        <w:t>4.1</w:t>
      </w:r>
      <w:r>
        <w:rPr/>
        <w:t xml:space="preserve"> Технико-экономические требования не предъявляются.</w:t>
      </w:r>
    </w:p>
    <w:p>
      <w:pPr>
        <w:pStyle w:val="Heading1"/>
        <w:jc w:val="center"/>
        <w:spacing w:after="100" w:line="276" w:lineRule="auto"/>
      </w:pPr>
      <w:r>
        <w:rPr/>
        <w:t>5 Требования к видам обеспечения</w:t>
      </w:r>
    </w:p>
    <w:p>
      <w:pPr>
        <w:pStyle w:val="Heading2"/>
        <w:spacing w:after="100" w:line="276" w:lineRule="auto"/>
      </w:pPr>
      <w:r>
        <w:rPr/>
        <w:t>5.1 Нормативное обеспечение</w:t>
      </w:r>
    </w:p>
    <w:p>
      <w:pPr>
        <w:spacing w:after="100" w:line="276" w:lineRule="auto"/>
      </w:pPr>
      <w:r>
        <w:rPr>
          <w:b/>
        </w:rPr>
        <w:t>5.1.1</w:t>
      </w:r>
      <w:r>
        <w:rPr/>
        <w:t xml:space="preserve"> Нормативное обеспечение должно учитывать документы, приведённые в перечне применимых нормативных и справочных документов настоящего ТЗ.</w:t>
      </w:r>
    </w:p>
    <w:p>
      <w:pPr>
        <w:pStyle w:val="Heading2"/>
        <w:spacing w:after="100" w:line="276" w:lineRule="auto"/>
      </w:pPr>
      <w:r>
        <w:rPr/>
        <w:t>5.2 Метрологическое обеспечение</w:t>
      </w:r>
    </w:p>
    <w:p>
      <w:pPr>
        <w:spacing w:after="100" w:line="276" w:lineRule="auto"/>
      </w:pPr>
      <w:r>
        <w:rPr>
          <w:b/>
        </w:rPr>
        <w:t>5.2.1</w:t>
      </w:r>
      <w:r>
        <w:rPr/>
        <w:t xml:space="preserve"> Должны быть предусмотрены средства и методики измерения оптической мощности, джиттера по ITU-T G.823, сквозной задержки и асимметрии. Незаданные допуски не устанавливаются.</w:t>
      </w:r>
    </w:p>
    <w:p>
      <w:pPr>
        <w:pStyle w:val="Heading2"/>
        <w:spacing w:after="100" w:line="276" w:lineRule="auto"/>
      </w:pPr>
      <w:r>
        <w:rPr/>
        <w:t>5.3 Диагностическое обеспечение</w:t>
      </w:r>
    </w:p>
    <w:p>
      <w:pPr>
        <w:spacing w:after="100" w:line="276" w:lineRule="auto"/>
      </w:pPr>
      <w:r>
        <w:rPr>
          <w:b/>
        </w:rPr>
        <w:t>5.3.1</w:t>
      </w:r>
      <w:r>
        <w:rPr/>
        <w:t xml:space="preserve"> Должны обеспечиваться регистрация DDM, LOS/LOF/Yellow Alarm и статистики задержки, формирование сообщений и отчётов для РМО.</w:t>
      </w:r>
    </w:p>
    <w:p>
      <w:pPr>
        <w:pStyle w:val="Heading2"/>
        <w:spacing w:after="100" w:line="276" w:lineRule="auto"/>
      </w:pPr>
      <w:r>
        <w:rPr/>
        <w:t>5.4 Программное обеспечение</w:t>
      </w:r>
    </w:p>
    <w:p>
      <w:pPr>
        <w:spacing w:after="100" w:line="276" w:lineRule="auto"/>
      </w:pPr>
      <w:r>
        <w:rPr>
          <w:b/>
        </w:rPr>
        <w:t>5.4.1</w:t>
      </w:r>
      <w:r>
        <w:rPr/>
        <w:t xml:space="preserve"> Должны быть разработаны bitstream функционального модуля для Flash базовой платы, драйверы Linux и MIB для РМО.</w:t>
      </w:r>
    </w:p>
    <w:p>
      <w:pPr>
        <w:spacing w:after="100" w:line="276" w:lineRule="auto"/>
      </w:pPr>
      <w:r>
        <w:rPr>
          <w:b/>
        </w:rPr>
        <w:t>Проверка.</w:t>
      </w:r>
      <w:r>
        <w:rPr/>
        <w:t xml:space="preserve"> Инспекцией состава средств, методик и программной документации подтверждают 5.1–5.4. Функциональными испытаниями проверяют регистрацию, сообщения и отчёты РМО, загрузку bitstream, драйверы Linux и MIB. Состав измерительных средств, содержание методик и критерии их аттестации — </w:t>
      </w:r>
      <w:r>
        <w:rPr>
          <w:b/>
        </w:rPr>
        <w:t>[уточнить]</w:t>
      </w:r>
      <w:r>
        <w:rPr/>
        <w:t>.</w:t>
      </w:r>
    </w:p>
    <w:p>
      <w:pPr>
        <w:pStyle w:val="Heading1"/>
        <w:jc w:val="center"/>
        <w:spacing w:after="100" w:line="276" w:lineRule="auto"/>
      </w:pPr>
      <w:r>
        <w:rPr/>
        <w:t>6 Требования к сырью, материалам и комплектующим изделиям</w:t>
      </w:r>
    </w:p>
    <w:p>
      <w:pPr>
        <w:spacing w:after="100" w:line="276" w:lineRule="auto"/>
      </w:pPr>
      <w:r>
        <w:rPr>
          <w:b/>
        </w:rPr>
        <w:t>6.1</w:t>
      </w:r>
      <w:r>
        <w:rPr/>
        <w:t xml:space="preserve"> При создании изделия должен обеспечиваться приоритет отечественных материалов и комплектующих изделий с приёмкой ОТК.</w:t>
      </w:r>
    </w:p>
    <w:p>
      <w:pPr>
        <w:spacing w:after="100" w:line="276" w:lineRule="auto"/>
      </w:pPr>
      <w:r>
        <w:rPr>
          <w:b/>
        </w:rPr>
        <w:t>6.2</w:t>
      </w:r>
      <w:r>
        <w:rPr/>
        <w:t xml:space="preserve"> При отсутствии аналогов допускается применение импортной ЭКБ промышленного температурного диапазона.</w:t>
      </w:r>
    </w:p>
    <w:p>
      <w:pPr>
        <w:spacing w:after="100" w:line="276" w:lineRule="auto"/>
      </w:pPr>
      <w:r>
        <w:rPr>
          <w:b/>
        </w:rPr>
        <w:t>Проверка.</w:t>
      </w:r>
      <w:r>
        <w:rPr/>
        <w:t xml:space="preserve"> Инспекцией перечня материалов, комплектующих и документов приёмки ОТК подтверждают приоритет отечественных материалов и комплектующих. Для импортной ЭКБ проверяют документированное отсутствие аналога и промышленный температурный диапазон. Номенклатура материалов и порядок подтверждения отсутствия аналогов — </w:t>
      </w:r>
      <w:r>
        <w:rPr>
          <w:b/>
        </w:rPr>
        <w:t>[уточнить]</w:t>
      </w:r>
      <w:r>
        <w:rPr/>
        <w:t>.</w:t>
      </w:r>
    </w:p>
    <w:p>
      <w:pPr>
        <w:pStyle w:val="Heading1"/>
        <w:jc w:val="center"/>
        <w:spacing w:after="100" w:line="276" w:lineRule="auto"/>
      </w:pPr>
      <w:r>
        <w:rPr/>
        <w:t>7 Требования к консервации, упаковке и маркировке</w:t>
      </w:r>
    </w:p>
    <w:p>
      <w:pPr>
        <w:spacing w:after="100" w:line="276" w:lineRule="auto"/>
      </w:pPr>
      <w:r>
        <w:rPr>
          <w:b/>
        </w:rPr>
        <w:t>7.1</w:t>
      </w:r>
      <w:r>
        <w:rPr/>
        <w:t xml:space="preserve"> На изделие должны быть нанесены децимальный и серийный номера, ревизия и маркировка портов C37-1…C37-4.</w:t>
      </w:r>
    </w:p>
    <w:p>
      <w:pPr>
        <w:spacing w:after="100" w:line="276" w:lineRule="auto"/>
      </w:pPr>
      <w:r>
        <w:rPr>
          <w:b/>
        </w:rPr>
        <w:t>7.2</w:t>
      </w:r>
      <w:r>
        <w:rPr/>
        <w:t xml:space="preserve"> Оптические разъёмы должны быть защищены колпачками.</w:t>
      </w:r>
    </w:p>
    <w:p>
      <w:pPr>
        <w:spacing w:after="100" w:line="276" w:lineRule="auto"/>
      </w:pPr>
      <w:r>
        <w:rPr>
          <w:b/>
        </w:rPr>
        <w:t>7.3</w:t>
      </w:r>
      <w:r>
        <w:rPr/>
        <w:t xml:space="preserve"> Хранение в заводской таре должно обеспечиваться не менее 1 года по ГОСТ 15150.</w:t>
      </w:r>
    </w:p>
    <w:p>
      <w:pPr>
        <w:spacing w:after="100" w:line="276" w:lineRule="auto"/>
      </w:pPr>
      <w:r>
        <w:rPr>
          <w:b/>
        </w:rPr>
        <w:t>7.4</w:t>
      </w:r>
      <w:r>
        <w:rPr/>
        <w:t xml:space="preserve"> Незаданные условия консервации не устанавливаются.</w:t>
      </w:r>
    </w:p>
    <w:p>
      <w:pPr>
        <w:spacing w:after="100" w:line="276" w:lineRule="auto"/>
      </w:pPr>
      <w:r>
        <w:rPr>
          <w:b/>
        </w:rPr>
        <w:t>Проверка.</w:t>
      </w:r>
      <w:r>
        <w:rPr/>
        <w:t xml:space="preserve"> Инспекцией маркировки, защитных колпачков и документов на тару подтверждают 7.1–7.3. Условия консервации, кроме указанного срока хранения в заводской таре, — </w:t>
      </w:r>
      <w:r>
        <w:rPr>
          <w:b/>
        </w:rPr>
        <w:t>[уточнить]</w:t>
      </w:r>
      <w:r>
        <w:rPr/>
        <w:t>.</w:t>
      </w:r>
    </w:p>
    <w:p>
      <w:pPr>
        <w:pStyle w:val="Heading1"/>
        <w:jc w:val="center"/>
        <w:spacing w:after="100" w:line="276" w:lineRule="auto"/>
      </w:pPr>
      <w:r>
        <w:rPr/>
        <w:t>8 Специальные требования</w:t>
      </w:r>
    </w:p>
    <w:p>
      <w:pPr>
        <w:spacing w:after="100" w:line="276" w:lineRule="auto"/>
      </w:pPr>
      <w:r>
        <w:rPr>
          <w:b/>
        </w:rPr>
        <w:t>8.1</w:t>
      </w:r>
      <w:r>
        <w:rPr/>
        <w:t xml:space="preserve"> Телеметрия РМО (C++/Qt) должна содержать мнемосхему четырёх портов, N, DDM в дБм, LOS/LOF/Yellow Alarm, задержку, асимметрию и статус P2.</w:t>
      </w:r>
    </w:p>
    <w:p>
      <w:pPr>
        <w:spacing w:after="100" w:line="276" w:lineRule="auto"/>
      </w:pPr>
      <w:r>
        <w:rPr>
          <w:b/>
        </w:rPr>
        <w:t>8.2</w:t>
      </w:r>
      <w:r>
        <w:rPr/>
        <w:t xml:space="preserve"> Должны быть предусмотрены команды настройки N, режима тактирования и P2, управления петлями и запуска PRBS.</w:t>
      </w:r>
    </w:p>
    <w:p>
      <w:pPr>
        <w:spacing w:after="100" w:line="276" w:lineRule="auto"/>
      </w:pPr>
      <w:r>
        <w:rPr>
          <w:b/>
        </w:rPr>
        <w:t>Проверка.</w:t>
      </w:r>
      <w:r>
        <w:rPr/>
        <w:t xml:space="preserve"> Функциональными испытаниями РМО проверяют отображение мнемосхемы четырёх портов, N, DDM в дБм, LOS/LOF/Yellow Alarm, задержки, асимметрии и статуса P2. Испытаниями команд проверяют настройку N, режимов тактирования и P2, управление петлями и запуск PRBS. Форматы сообщений, права доступа, диапазоны настройки и условия испытаний — </w:t>
      </w:r>
      <w:r>
        <w:rPr>
          <w:b/>
        </w:rPr>
        <w:t>[уточнить]</w:t>
      </w:r>
      <w:r>
        <w:rPr/>
        <w:t>.</w:t>
      </w:r>
    </w:p>
    <w:p>
      <w:pPr>
        <w:pageBreakBefore/>
        <w:spacing w:after="100" w:line="276" w:lineRule="auto"/>
      </w:pPr>
    </w:p>
    <w:p>
      <w:pPr>
        <w:pStyle w:val="Heading1"/>
        <w:jc w:val="center"/>
        <w:spacing w:after="100" w:line="276" w:lineRule="auto"/>
      </w:pPr>
      <w:r>
        <w:rPr/>
        <w:t>Лист подписей разработчиков</w:t>
      </w:r>
    </w:p>
    <w:p>
      <w:pPr>
        <w:spacing w:after="100" w:line="276" w:lineRule="auto"/>
      </w:pPr>
      <w:r>
        <w:rPr/>
        <w:t>Подписи разработчиков ТЗ и согласующие подписи размещаются после основного текста в соответствии с ГОСТ 15.016—2016, 7.1.3. Неуказанные реквизиты оставлены незаполненными.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18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Роль</w:t>
            </w:r>
          </w:p>
        </w:tc>
        <w:tc>
          <w:tcPr>
            <w:tcW w:w="18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Должность</w:t>
            </w:r>
          </w:p>
        </w:tc>
        <w:tc>
          <w:tcPr>
            <w:tcW w:w="18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Фамилия, инициалы</w:t>
            </w:r>
          </w:p>
        </w:tc>
        <w:tc>
          <w:tcPr>
            <w:tcW w:w="18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Подпись</w:t>
            </w:r>
          </w:p>
        </w:tc>
        <w:tc>
          <w:tcPr>
            <w:tcW w:w="1800" w:type="dxa"/>
          </w:tcPr>
          <w:p>
            <w:pPr>
              <w:jc w:val="center"/>
              <w:spacing w:after="100" w:line="276" w:lineRule="auto"/>
            </w:pPr>
            <w:r>
              <w:rPr>
                <w:b/>
              </w:rPr>
              <w:t>Дата</w:t>
            </w:r>
          </w:p>
        </w:tc>
      </w:tr>
      <w:tr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Разработал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______________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«___» ______ 20__ г.</w:t>
            </w:r>
          </w:p>
        </w:tc>
      </w:tr>
      <w:tr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Проверил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______________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«___» ______ 20__ г.</w:t>
            </w:r>
          </w:p>
        </w:tc>
      </w:tr>
      <w:tr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Нормоконтроль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______________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«___» ______ 20__ г.</w:t>
            </w:r>
          </w:p>
        </w:tc>
      </w:tr>
      <w:tr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Согласовано: исполнитель СЧ ОКР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______________</w:t>
            </w:r>
          </w:p>
        </w:tc>
        <w:tc>
          <w:tcPr>
            <w:tcW w:w="1800" w:type="dxa"/>
          </w:tcPr>
          <w:p>
            <w:pPr>
              <w:spacing w:after="100" w:line="276" w:lineRule="auto"/>
            </w:pPr>
            <w:r>
              <w:rPr/>
              <w:t>«___» ______ 20__ г.</w:t>
            </w:r>
          </w:p>
        </w:tc>
      </w:tr>
    </w:tbl>
    <w:sectPr>
      <w:headerReference w:type="default" w:id="rId1"/>
      <w:pgSz w:w="11906" w:h="16838"/>
      <w:pgMar w:top="1020" w:right="907" w:bottom="1020" w:left="1134" w:header="450" w:footer="450" w:gutter="0"/>
    </w:sectPr>
  </w:body>
</w:document>
</file>

<file path=word/header1.xml><?xml version="1.0" encoding="utf-8"?>
<w:hdr xmlns:w="http://schemas.openxmlformats.org/wordprocessingml/2006/main">
  <w:p>
    <w:pPr>
      <w:jc w:val="right"/>
      <w:spacing w:after="100" w:line="276" w:lineRule="auto"/>
    </w:pPr>
    <w:fldSimple w:instr="PAGE">
      <w:r>
        <w:t>1</w:t>
      </w:r>
    </w:fldSimple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  <w:szCs w:val="24"/>
    </w:rPr>
  </w:style>
  <w:style w:type="paragraph" w:styleId="Heading1">
    <w:name w:val="Заголовок 1"/>
    <w:pPr>
      <w:keepNext/>
    </w:pPr>
    <w:rPr>
      <w:b/>
      <w:sz w:val="28"/>
    </w:rPr>
  </w:style>
  <w:style w:type="paragraph" w:styleId="Heading2">
    <w:name w:val="Заголовок 2"/>
    <w:pPr>
      <w:keepNext/>
    </w:pPr>
    <w:rPr>
      <w:b/>
      <w:sz w:val="26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header" Target="header1.xml" /></ns0: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«Развитие-ТСА»</dc:title>
  <dc:language>ru-RU</dc:language>
  <dc:creator>Исполнитель СЧ ОКР — [организация-исполнитель]</dc:creator>
  <dcterms:created xsi:type="dcterms:W3CDTF">2026-10-04T10:18:08.393657+00:00</dcterms:created>
</cp:coreProperties>
</file>