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spacing w:before="0" w:after="240"/>
      </w:pPr>
      <w:r>
        <w:rPr>
          <w:sz w:val="22"/>
        </w:rPr>
        <w:t xml:space="preserve">ТИТУЛЬНЫЙ ЛИСТ ТЗ НА СЧ ОКР</w:t>
      </w:r>
    </w:p>
    <w:tbl>
      <w:tblPr>
        <w:tblLayout w:type="fixed"/>
        <w:tblW w:w="9000" w:type="dxa"/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СОГЛАСОВАНО</w:t>
            </w:r>
          </w:p>
        </w:tc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СОГЛАСОВАНО</w:t>
            </w:r>
          </w:p>
        </w:tc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УТВЕРЖДАЮ</w:t>
            </w:r>
          </w:p>
        </w:tc>
      </w:tr>
      <w:tr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Заказчик (НИО заказчика)
________________________
подпись, инициалы, фамилия
«___» __________ 20__ г.</w:t>
            </w:r>
          </w:p>
        </w:tc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Исполнитель составной части ОКР
________________________
подпись, инициалы, фамилия
«___» __________ 20__ г.</w:t>
            </w:r>
          </w:p>
        </w:tc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Головной исполнитель ОКР
________________________
подпись, инициалы, фамилия
«___» __________ 20__ г.</w:t>
            </w:r>
          </w:p>
        </w:tc>
      </w:tr>
    </w:tbl>
    <w:p>
      <w:pPr>
        <w:spacing w:before="0" w:after="100"/>
      </w:pPr>
      <w:r>
        <w:rPr>
          <w:sz w:val="22"/>
        </w:rPr>
        <w:t xml:space="preserve"/>
      </w:r>
    </w:p>
    <w:tbl>
      <w:tblPr>
        <w:tblLayout w:type="fixed"/>
        <w:tblW w:w="9000" w:type="dxa"/>
      </w:tblPr>
      <w:tblGrid>
        <w:gridCol w:w="9000"/>
      </w:tblGrid>
      <w:t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СОГЛАСОВАНО</w:t>
            </w:r>
          </w:p>
        </w:tc>
      </w:tr>
      <w:t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Исполнитель составной части ОКР: ООО «тушканчик»
________________________
подпись, инициалы, фамилия
«___» __________ 20__ г.</w:t>
            </w:r>
          </w:p>
        </w:tc>
      </w:tr>
    </w:tbl>
    <w:p>
      <w:pPr>
        <w:spacing w:before="0" w:after="100"/>
      </w:pPr>
      <w:r>
        <w:rPr>
          <w:sz w:val="22"/>
        </w:rPr>
        <w:t xml:space="preserve"/>
      </w:r>
    </w:p>
    <w:p>
      <w:pPr>
        <w:pStyle w:val="Title"/>
        <w:jc w:val="center"/>
        <w:spacing w:before="0" w:after="80"/>
      </w:pPr>
      <w:r>
        <w:rPr>
          <w:sz w:val="22"/>
        </w:rPr>
        <w:t xml:space="preserve">ТЕХНИЧЕСКОЕ ЗАДАНИЕ</w:t>
      </w:r>
    </w:p>
    <w:p>
      <w:pPr>
        <w:pStyle w:val="Title"/>
        <w:jc w:val="center"/>
        <w:spacing w:before="0" w:after="180"/>
      </w:pPr>
      <w:r>
        <w:rPr>
          <w:sz w:val="22"/>
        </w:rPr>
        <w:t xml:space="preserve">НА СОСТАВНУЮ ЧАСТЬ ОПЫТНО-КОНСТРУКТОРСКОЙ РАБОТЫ</w:t>
      </w:r>
    </w:p>
    <w:p>
      <w:pPr>
        <w:pStyle w:val="Subtitle"/>
        <w:jc w:val="center"/>
        <w:spacing w:before="0" w:after="120"/>
      </w:pPr>
      <w:r>
        <w:rPr>
          <w:sz w:val="22"/>
        </w:rPr>
        <w:t xml:space="preserve">Разработка сменной интерфейсной субплаты 8×E1 и функционального модуля E1 для универсального базового модуля AMC семейства ДММП</w:t>
      </w:r>
    </w:p>
    <w:p>
      <w:pPr>
        <w:pStyle w:val="Subtitle"/>
        <w:jc w:val="center"/>
        <w:spacing w:before="0" w:after="80"/>
      </w:pPr>
      <w:r>
        <w:rPr>
          <w:sz w:val="22"/>
        </w:rPr>
        <w:t xml:space="preserve">Шифр ОКР: «Развитие-ТСА»</w:t>
      </w:r>
    </w:p>
    <w:p>
      <w:pPr>
        <w:pStyle w:val="Subtitle"/>
        <w:jc w:val="center"/>
        <w:spacing w:before="0" w:after="300"/>
      </w:pPr>
      <w:r>
        <w:rPr>
          <w:sz w:val="22"/>
        </w:rPr>
        <w:t xml:space="preserve">Обозначение составной части изделия: [уточнить]</w:t>
      </w:r>
    </w:p>
    <w:p>
      <w:pPr>
        <w:jc w:val="center"/>
        <w:spacing w:before="0" w:after="100"/>
      </w:pPr>
      <w:r>
        <w:rPr>
          <w:sz w:val="22"/>
        </w:rPr>
        <w:t xml:space="preserve">Регистрационный номер: [уточнить]</w:t>
      </w:r>
    </w:p>
    <w:p>
      <w:pPr>
        <w:jc w:val="center"/>
        <w:spacing w:before="0" w:after="100"/>
      </w:pPr>
      <w:r>
        <w:rPr>
          <w:sz w:val="22"/>
        </w:rPr>
        <w:t xml:space="preserve">Дата: [уточнить]</w:t>
      </w:r>
    </w:p>
    <w:p>
      <w:r>
        <w:br w:type="page"/>
      </w:r>
    </w:p>
    <w:p>
      <w:pPr>
        <w:pStyle w:val="Heading1"/>
        <w:spacing w:before="160" w:after="80"/>
        <w:keepNext/>
      </w:pPr>
      <w:r>
        <w:rPr>
          <w:sz w:val="22"/>
        </w:rPr>
        <w:t xml:space="preserve">ЛИСТ СОГЛАСОВАНИЯ</w:t>
      </w:r>
    </w:p>
    <w:p>
      <w:pPr>
        <w:spacing w:before="0" w:after="100"/>
      </w:pPr>
      <w:r>
        <w:rPr>
          <w:sz w:val="22"/>
        </w:rPr>
        <w:t xml:space="preserve">Согласование ТЗ на СЧ ОКР выполняется в соответствии с ГОСТ 15.016—2016, 7.2. Сведения, не заданные исходными данными, обозначены [уточнить] и не являются подтверждёнными реквизитами.</w:t>
      </w:r>
    </w:p>
    <w:tbl>
      <w:tblPr>
        <w:tblLayout w:type="fixed"/>
        <w:tblW w:w="9000" w:type="dxa"/>
      </w:tblPr>
      <w:tblGrid>
        <w:gridCol w:w="3200"/>
        <w:gridCol w:w="3400"/>
        <w:gridCol w:w="2400"/>
      </w:tblGrid>
      <w:tr>
        <w:tc>
          <w:tcPr>
            <w:tcW w:w="32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Организация / должностное лицо</w:t>
            </w:r>
          </w:p>
        </w:tc>
        <w:tc>
          <w:tcPr>
            <w:tcW w:w="34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Основание согласования</w:t>
            </w:r>
          </w:p>
        </w:tc>
        <w:tc>
          <w:tcPr>
            <w:tcW w:w="24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Подпись и дата</w:t>
            </w:r>
          </w:p>
        </w:tc>
      </w:tr>
      <w:tr>
        <w:tc>
          <w:tcPr>
            <w:tcW w:w="32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Заказчик (НИО заказчика): [уточнить]</w:t>
            </w:r>
          </w:p>
        </w:tc>
        <w:tc>
          <w:tcPr>
            <w:tcW w:w="34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ГОСТ 15.016—2016, 7.2.2</w:t>
            </w:r>
          </w:p>
        </w:tc>
        <w:tc>
          <w:tcPr>
            <w:tcW w:w="24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________________________</w:t>
            </w:r>
          </w:p>
        </w:tc>
      </w:tr>
      <w:tr>
        <w:tc>
          <w:tcPr>
            <w:tcW w:w="32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Исполнитель СЧ ОКР: ООО «тушканчик»</w:t>
            </w:r>
          </w:p>
        </w:tc>
        <w:tc>
          <w:tcPr>
            <w:tcW w:w="34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ГОСТ 15.016—2016, 7.2.2</w:t>
            </w:r>
          </w:p>
        </w:tc>
        <w:tc>
          <w:tcPr>
            <w:tcW w:w="24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________________________</w:t>
            </w:r>
          </w:p>
        </w:tc>
      </w:tr>
      <w:tr>
        <w:tc>
          <w:tcPr>
            <w:tcW w:w="32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Другие организации: [уточнить]</w:t>
            </w:r>
          </w:p>
        </w:tc>
        <w:tc>
          <w:tcPr>
            <w:tcW w:w="34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По решению заказчика или головного исполнителя ОКР</w:t>
            </w:r>
          </w:p>
        </w:tc>
        <w:tc>
          <w:tcPr>
            <w:tcW w:w="24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________________________</w:t>
            </w:r>
          </w:p>
        </w:tc>
      </w:tr>
      <w:tr>
        <w:tc>
          <w:tcPr>
            <w:tcW w:w="32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Головной исполнитель ОКР: [уточнить]</w:t>
            </w:r>
          </w:p>
        </w:tc>
        <w:tc>
          <w:tcPr>
            <w:tcW w:w="34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Утверждение ТЗ СЧ ОКР, ГОСТ 15.016—2016, 7.2.1</w:t>
            </w:r>
          </w:p>
        </w:tc>
        <w:tc>
          <w:tcPr>
            <w:tcW w:w="24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________________________</w:t>
            </w:r>
          </w:p>
        </w:tc>
      </w:tr>
    </w:tbl>
    <w:p>
      <w:r>
        <w:br w:type="page"/>
      </w:r>
    </w:p>
    <w:p>
      <w:pPr>
        <w:pStyle w:val="Heading1"/>
        <w:spacing w:before="160" w:after="80"/>
        <w:keepNext/>
      </w:pPr>
      <w:r>
        <w:rPr>
          <w:sz w:val="22"/>
        </w:rPr>
        <w:t xml:space="preserve">ПЕРЕЧЕНЬ ОБОЗНАЧЕНИЙ И СОКРАЩЕНИЙ</w:t>
      </w:r>
    </w:p>
    <w:tbl>
      <w:tblPr>
        <w:tblLayout w:type="fixed"/>
        <w:tblW w:w="9000" w:type="dxa"/>
      </w:tblPr>
      <w:tblGrid>
        <w:gridCol w:w="2100"/>
        <w:gridCol w:w="6900"/>
      </w:tblGrid>
      <w:tr>
        <w:tc>
          <w:tcPr>
            <w:tcW w:w="2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Обозначение</w:t>
            </w:r>
          </w:p>
        </w:tc>
        <w:tc>
          <w:tcPr>
            <w:tcW w:w="6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Раскрытие / значение</w:t>
            </w:r>
          </w:p>
        </w:tc>
      </w:tr>
      <w:tr>
        <w:tc>
          <w:tcPr>
            <w:tcW w:w="2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AMC</w:t>
            </w:r>
          </w:p>
        </w:tc>
        <w:tc>
          <w:tcPr>
            <w:tcW w:w="6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Advanced Mezzanine Card — [уточнить официальное раскрытие, применяемое в изделии].</w:t>
            </w:r>
          </w:p>
        </w:tc>
      </w:tr>
      <w:tr>
        <w:tc>
          <w:tcPr>
            <w:tcW w:w="2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ПЛИС</w:t>
            </w:r>
          </w:p>
        </w:tc>
        <w:tc>
          <w:tcPr>
            <w:tcW w:w="6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программируемая логическая интегральная схема.</w:t>
            </w:r>
          </w:p>
        </w:tc>
      </w:tr>
      <w:tr>
        <w:tc>
          <w:tcPr>
            <w:tcW w:w="2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B2B</w:t>
            </w:r>
          </w:p>
        </w:tc>
        <w:tc>
          <w:tcPr>
            <w:tcW w:w="6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Board-to-Board — [уточнить официальное раскрытие, применяемое в изделии].</w:t>
            </w:r>
          </w:p>
        </w:tc>
      </w:tr>
      <w:tr>
        <w:tc>
          <w:tcPr>
            <w:tcW w:w="2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Board ID</w:t>
            </w:r>
          </w:p>
        </w:tc>
        <w:tc>
          <w:tcPr>
            <w:tcW w:w="6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идентификатор платы; числовое значение: [уточнить].</w:t>
            </w:r>
          </w:p>
        </w:tc>
      </w:tr>
      <w:tr>
        <w:tc>
          <w:tcPr>
            <w:tcW w:w="2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MMC</w:t>
            </w:r>
          </w:p>
        </w:tc>
        <w:tc>
          <w:tcPr>
            <w:tcW w:w="6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[уточнить раскрытие сокращения].</w:t>
            </w:r>
          </w:p>
        </w:tc>
      </w:tr>
      <w:tr>
        <w:tc>
          <w:tcPr>
            <w:tcW w:w="2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РМО</w:t>
            </w:r>
          </w:p>
        </w:tc>
        <w:tc>
          <w:tcPr>
            <w:tcW w:w="6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рабочее место оператора.</w:t>
            </w:r>
          </w:p>
        </w:tc>
      </w:tr>
      <w:tr>
        <w:tc>
          <w:tcPr>
            <w:tcW w:w="2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ОКР</w:t>
            </w:r>
          </w:p>
        </w:tc>
        <w:tc>
          <w:tcPr>
            <w:tcW w:w="6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опытно-конструкторская работа.</w:t>
            </w:r>
          </w:p>
        </w:tc>
      </w:tr>
      <w:tr>
        <w:tc>
          <w:tcPr>
            <w:tcW w:w="2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РКД</w:t>
            </w:r>
          </w:p>
        </w:tc>
        <w:tc>
          <w:tcPr>
            <w:tcW w:w="6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рабочая конструкторская документация.</w:t>
            </w:r>
          </w:p>
        </w:tc>
      </w:tr>
      <w:tr>
        <w:tc>
          <w:tcPr>
            <w:tcW w:w="2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ПМИ</w:t>
            </w:r>
          </w:p>
        </w:tc>
        <w:tc>
          <w:tcPr>
            <w:tcW w:w="6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программа и методика испытаний.</w:t>
            </w:r>
          </w:p>
        </w:tc>
      </w:tr>
      <w:tr>
        <w:tc>
          <w:tcPr>
            <w:tcW w:w="2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E1</w:t>
            </w:r>
          </w:p>
        </w:tc>
        <w:tc>
          <w:tcPr>
            <w:tcW w:w="6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специальное сокращение изделия/интерфейса; официальное раскрытие: [уточнить].</w:t>
            </w:r>
          </w:p>
        </w:tc>
      </w:tr>
      <w:tr>
        <w:tc>
          <w:tcPr>
            <w:tcW w:w="2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LIU</w:t>
            </w:r>
          </w:p>
        </w:tc>
        <w:tc>
          <w:tcPr>
            <w:tcW w:w="6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специальное сокращение изделия; официальное раскрытие: [уточнить].</w:t>
            </w:r>
          </w:p>
        </w:tc>
      </w:tr>
      <w:tr>
        <w:tc>
          <w:tcPr>
            <w:tcW w:w="2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TDM</w:t>
            </w:r>
          </w:p>
        </w:tc>
        <w:tc>
          <w:tcPr>
            <w:tcW w:w="6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специальное сокращение изделия; официальное раскрытие: [уточнить].</w:t>
            </w:r>
          </w:p>
        </w:tc>
      </w:tr>
      <w:tr>
        <w:tc>
          <w:tcPr>
            <w:tcW w:w="2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PDV</w:t>
            </w:r>
          </w:p>
        </w:tc>
        <w:tc>
          <w:tcPr>
            <w:tcW w:w="6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специальное сокращение изделия; официальное раскрытие: [уточнить].</w:t>
            </w:r>
          </w:p>
        </w:tc>
      </w:tr>
      <w:tr>
        <w:tc>
          <w:tcPr>
            <w:tcW w:w="2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AIS, RAI, LOS, LOF</w:t>
            </w:r>
          </w:p>
        </w:tc>
        <w:tc>
          <w:tcPr>
            <w:tcW w:w="6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специальные сокращения аварий и состояний; официальные раскрытия: [уточнить].</w:t>
            </w:r>
          </w:p>
        </w:tc>
      </w:tr>
      <w:tr>
        <w:tc>
          <w:tcPr>
            <w:tcW w:w="2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ES, SES, UAS</w:t>
            </w:r>
          </w:p>
        </w:tc>
        <w:tc>
          <w:tcPr>
            <w:tcW w:w="6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показатели статистики G.826; официальные раскрытия: [уточнить].</w:t>
            </w:r>
          </w:p>
        </w:tc>
      </w:tr>
      <w:tr>
        <w:tc>
          <w:tcPr>
            <w:tcW w:w="2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SAToP, CESoPSN</w:t>
            </w:r>
          </w:p>
        </w:tc>
        <w:tc>
          <w:tcPr>
            <w:tcW w:w="6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профили передачи TDM через пакетную сеть согласно RFC 4553 и RFC 5086.</w:t>
            </w:r>
          </w:p>
        </w:tc>
      </w:tr>
      <w:tr>
        <w:tc>
          <w:tcPr>
            <w:tcW w:w="2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QoS</w:t>
            </w:r>
          </w:p>
        </w:tc>
        <w:tc>
          <w:tcPr>
            <w:tcW w:w="6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специальное сокращение изделия; официальное раскрытие: [уточнить].</w:t>
            </w:r>
          </w:p>
        </w:tc>
      </w:tr>
      <w:tr>
        <w:tc>
          <w:tcPr>
            <w:tcW w:w="2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PRBS, BER</w:t>
            </w:r>
          </w:p>
        </w:tc>
        <w:tc>
          <w:tcPr>
            <w:tcW w:w="6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специальные сокращения встроенного тестирования; официальные раскрытия: [уточнить].</w:t>
            </w:r>
          </w:p>
        </w:tc>
      </w:tr>
    </w:tbl>
    <w:p>
      <w:pPr>
        <w:spacing w:before="0" w:after="100"/>
      </w:pPr>
      <w:r>
        <w:rPr>
          <w:sz w:val="22"/>
        </w:rPr>
        <w:t xml:space="preserve">Примечание — Нераскрытые в исходных данных специальные сокращения сохранены и отмечены [уточнить]; их расшифровка не выводилась из внешних источников.</w:t>
      </w:r>
    </w:p>
    <w:p>
      <w:r>
        <w:br w:type="page"/>
      </w:r>
    </w:p>
    <w:p>
      <w:pPr>
        <w:pStyle w:val="Heading1"/>
        <w:spacing w:before="160" w:after="80"/>
        <w:keepNext/>
      </w:pPr>
      <w:r>
        <w:rPr>
          <w:sz w:val="22"/>
        </w:rPr>
        <w:t xml:space="preserve">ПЕРЕЧЕНЬ ПРИМЕНИМЫХ НОРМАТИВНЫХ И СПРАВОЧНЫХ ДОКУМЕНТОВ</w:t>
      </w:r>
    </w:p>
    <w:tbl>
      <w:tblPr>
        <w:tblLayout w:type="fixed"/>
        <w:tblW w:w="9000" w:type="dxa"/>
      </w:tblPr>
      <w:tblGrid>
        <w:gridCol w:w="700"/>
        <w:gridCol w:w="8300"/>
      </w:tblGrid>
      <w:tr>
        <w:tc>
          <w:tcPr>
            <w:tcW w:w="7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№</w:t>
            </w:r>
          </w:p>
        </w:tc>
        <w:tc>
          <w:tcPr>
            <w:tcW w:w="83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Обозначение документа</w:t>
            </w:r>
          </w:p>
        </w:tc>
      </w:tr>
      <w:tr>
        <w:tc>
          <w:tcPr>
            <w:tcW w:w="7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1</w:t>
            </w:r>
          </w:p>
        </w:tc>
        <w:tc>
          <w:tcPr>
            <w:tcW w:w="83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ГОСТ 15.016—2016 (применён в части требований к ТЗ на СЧ ОКР, 6.1, 6.2 и 7.1).</w:t>
            </w:r>
          </w:p>
        </w:tc>
      </w:tr>
      <w:tr>
        <w:tc>
          <w:tcPr>
            <w:tcW w:w="7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2</w:t>
            </w:r>
          </w:p>
        </w:tc>
        <w:tc>
          <w:tcPr>
            <w:tcW w:w="83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ITU-T G.703</w:t>
            </w:r>
          </w:p>
        </w:tc>
      </w:tr>
      <w:tr>
        <w:tc>
          <w:tcPr>
            <w:tcW w:w="7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3</w:t>
            </w:r>
          </w:p>
        </w:tc>
        <w:tc>
          <w:tcPr>
            <w:tcW w:w="83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ITU-T G.704</w:t>
            </w:r>
          </w:p>
        </w:tc>
      </w:tr>
      <w:tr>
        <w:tc>
          <w:tcPr>
            <w:tcW w:w="7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4</w:t>
            </w:r>
          </w:p>
        </w:tc>
        <w:tc>
          <w:tcPr>
            <w:tcW w:w="83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ITU-T G.823</w:t>
            </w:r>
          </w:p>
        </w:tc>
      </w:tr>
      <w:tr>
        <w:tc>
          <w:tcPr>
            <w:tcW w:w="7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5</w:t>
            </w:r>
          </w:p>
        </w:tc>
        <w:tc>
          <w:tcPr>
            <w:tcW w:w="83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ITU-T G.826</w:t>
            </w:r>
          </w:p>
        </w:tc>
      </w:tr>
      <w:tr>
        <w:tc>
          <w:tcPr>
            <w:tcW w:w="7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6</w:t>
            </w:r>
          </w:p>
        </w:tc>
        <w:tc>
          <w:tcPr>
            <w:tcW w:w="83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RFC 4553 (SAToP)</w:t>
            </w:r>
          </w:p>
        </w:tc>
      </w:tr>
      <w:tr>
        <w:tc>
          <w:tcPr>
            <w:tcW w:w="7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7</w:t>
            </w:r>
          </w:p>
        </w:tc>
        <w:tc>
          <w:tcPr>
            <w:tcW w:w="83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RFC 5086 (CESoPSN)</w:t>
            </w:r>
          </w:p>
        </w:tc>
      </w:tr>
      <w:tr>
        <w:tc>
          <w:tcPr>
            <w:tcW w:w="7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8</w:t>
            </w:r>
          </w:p>
        </w:tc>
        <w:tc>
          <w:tcPr>
            <w:tcW w:w="83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PICMG AMC.0 R2.0</w:t>
            </w:r>
          </w:p>
        </w:tc>
      </w:tr>
      <w:tr>
        <w:tc>
          <w:tcPr>
            <w:tcW w:w="7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9</w:t>
            </w:r>
          </w:p>
        </w:tc>
        <w:tc>
          <w:tcPr>
            <w:tcW w:w="83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ГОСТ РВ 20.39.304-98</w:t>
            </w:r>
          </w:p>
        </w:tc>
      </w:tr>
      <w:tr>
        <w:tc>
          <w:tcPr>
            <w:tcW w:w="7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10</w:t>
            </w:r>
          </w:p>
        </w:tc>
        <w:tc>
          <w:tcPr>
            <w:tcW w:w="83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ГОСТ В 25803-91</w:t>
            </w:r>
          </w:p>
        </w:tc>
      </w:tr>
      <w:tr>
        <w:tc>
          <w:tcPr>
            <w:tcW w:w="7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11</w:t>
            </w:r>
          </w:p>
        </w:tc>
        <w:tc>
          <w:tcPr>
            <w:tcW w:w="83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ГОСТ 2.114-2016</w:t>
            </w:r>
          </w:p>
        </w:tc>
      </w:tr>
      <w:tr>
        <w:tc>
          <w:tcPr>
            <w:tcW w:w="7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12</w:t>
            </w:r>
          </w:p>
        </w:tc>
        <w:tc>
          <w:tcPr>
            <w:tcW w:w="83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ГОСТ РВ 15.201-2003</w:t>
            </w:r>
          </w:p>
        </w:tc>
      </w:tr>
      <w:tr>
        <w:tc>
          <w:tcPr>
            <w:tcW w:w="7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13</w:t>
            </w:r>
          </w:p>
        </w:tc>
        <w:tc>
          <w:tcPr>
            <w:tcW w:w="83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ГОСТ 15150</w:t>
            </w:r>
          </w:p>
        </w:tc>
      </w:tr>
    </w:tbl>
    <w:p>
      <w:pPr>
        <w:spacing w:before="0" w:after="100"/>
      </w:pPr>
      <w:r>
        <w:rPr>
          <w:sz w:val="22"/>
        </w:rPr>
        <w:t xml:space="preserve">Примечание — Наименования и редакции документов, кроме обозначений, непосредственно заданных исходными данными, не дополнялись. Применимость каждого документа к конкретной проверке уточняется в ПМИ [уточнить].</w:t>
      </w:r>
    </w:p>
    <w:p>
      <w:r>
        <w:br w:type="page"/>
      </w:r>
    </w:p>
    <w:p>
      <w:pPr>
        <w:pStyle w:val="Heading1"/>
        <w:spacing w:before="160" w:after="80"/>
        <w:keepNext/>
      </w:pPr>
      <w:r>
        <w:rPr>
          <w:sz w:val="22"/>
        </w:rPr>
        <w:t xml:space="preserve">1 Наименование, шифр, основание, исполнители и сроки ОКР</w:t>
      </w:r>
    </w:p>
    <w:tbl>
      <w:tblPr>
        <w:tblLayout w:type="fixed"/>
        <w:tblW w:w="9200" w:type="dxa"/>
      </w:tblPr>
      <w:tblGrid>
        <w:gridCol w:w="1150"/>
        <w:gridCol w:w="4900"/>
        <w:gridCol w:w="3150"/>
      </w:tblGrid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Идентификатор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Требование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Проверка</w:t>
            </w:r>
          </w:p>
        </w:tc>
      </w:tr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1.1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Разрабатываются сменная интерфейсная субплата 8×E1 и функциональный модуль E1 для универсального базового модуля AMC семейства ДММП. Шифр ОКР — «Развитие-ТСА».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Проверка документацией ОКР: наименование и шифр должны совпадать с настоящим пунктом.</w:t>
            </w:r>
          </w:p>
        </w:tc>
      </w:tr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1.2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Основание — приказ об открытии инициативной ОКР № [уточнить] от [уточнить].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Проверка реквизитов приказа после их предоставления; отсутствующие номер и дата не подтверждены.</w:t>
            </w:r>
          </w:p>
        </w:tc>
      </w:tr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1.3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Исполнитель — ООО «тушканчик» (условное наименование из исходных данных).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Проверка организационными реквизитами; условный статус наименования сохраняется.</w:t>
            </w:r>
          </w:p>
        </w:tc>
      </w:tr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1.4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Сроки выполнения связать с утверждённым планом-графиком РКД, программной документации, изготовления образцов и испытаний. Даты начала и окончания — [уточнить].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Анализ утверждённого плана-графика; конкретные даты и ответственные лица должны быть предоставлены.</w:t>
            </w:r>
          </w:p>
        </w:tc>
      </w:tr>
    </w:tbl>
    <w:p>
      <w:pPr>
        <w:pStyle w:val="Heading1"/>
        <w:spacing w:before="160" w:after="80"/>
        <w:keepNext/>
      </w:pPr>
      <w:r>
        <w:rPr>
          <w:sz w:val="22"/>
        </w:rPr>
        <w:t xml:space="preserve">2 Цель выполнения ОКР, наименование, назначение и область применения изделия</w:t>
      </w:r>
    </w:p>
    <w:tbl>
      <w:tblPr>
        <w:tblLayout w:type="fixed"/>
        <w:tblW w:w="9200" w:type="dxa"/>
      </w:tblPr>
      <w:tblGrid>
        <w:gridCol w:w="1150"/>
        <w:gridCol w:w="4900"/>
        <w:gridCol w:w="3150"/>
      </w:tblGrid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Идентификатор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Требование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Проверка</w:t>
            </w:r>
          </w:p>
        </w:tc>
      </w:tr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2.1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Цель — разработать сменную интерфейсную субплату 8×E1 и функциональный модуль E1, подключить восемь независимых линий E1 к платформе ДММП с передачей TDM через Ethernet, компенсацией сетевого джиттера и восстановлением частоты.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Анализ архитектуры и испытание восьми независимых линий в заданных профилях; наблюдаемый результат — передача TDM, компенсация джиттера и восстановление частоты в пределах требований раздела 3.</w:t>
            </w:r>
          </w:p>
        </w:tc>
      </w:tr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2.2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Область применения: TDM/SDH/PDH, телефонные станции, диспетчеризация и АСУ ТП энергетических и промышленных предприятий.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Проверка по эксплуатационной и проектной документации; перечень областей применения должен совпадать с настоящим пунктом.</w:t>
            </w:r>
          </w:p>
        </w:tc>
      </w:tr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2.3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Аппаратная часть включает субплату, интерфейсы, защиту, трансиверы и EEPROM. Логическая часть включает функциональный модуль ПЛИС базовой платы, автоматически активируемый по Board ID. AMC устанавливается на Carrier платформы ДММП.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Осмотр изделия и анализ bitstream/конфигурации: подтверждаются раздельные аппаратная и логическая части, автоматическая активация по Board ID и установка на Carrier.</w:t>
            </w:r>
          </w:p>
        </w:tc>
      </w:tr>
    </w:tbl>
    <w:p>
      <w:pPr>
        <w:pStyle w:val="Heading1"/>
        <w:spacing w:before="160" w:after="80"/>
        <w:keepNext/>
      </w:pPr>
      <w:r>
        <w:rPr>
          <w:sz w:val="22"/>
        </w:rPr>
        <w:t xml:space="preserve">3 Технические требования к изделию</w:t>
      </w:r>
    </w:p>
    <w:p>
      <w:pPr>
        <w:pStyle w:val="Heading2"/>
        <w:spacing w:before="160" w:after="80"/>
        <w:keepNext/>
      </w:pPr>
      <w:r>
        <w:rPr>
          <w:sz w:val="22"/>
        </w:rPr>
        <w:t xml:space="preserve">3.1 Архитектура и линии E1</w:t>
      </w:r>
    </w:p>
    <w:tbl>
      <w:tblPr>
        <w:tblLayout w:type="fixed"/>
        <w:tblW w:w="9200" w:type="dxa"/>
      </w:tblPr>
      <w:tblGrid>
        <w:gridCol w:w="1150"/>
        <w:gridCol w:w="4900"/>
        <w:gridCol w:w="3150"/>
      </w:tblGrid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Идентификатор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Требование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Проверка</w:t>
            </w:r>
          </w:p>
        </w:tc>
      </w:tr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3.1.1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Субплата должна иметь 8 экранированных RJ-48C (8P8C), защиту, импульсные трансформаторы, восьмиканальный LIU, Board ID EEPROM и индикацию портов. Числовой Board ID — [уточнить].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Осмотр и анализ схем/РКД; проверяются количество и тип разъёмов, наличие защиты, трансформаторов, LIU, EEPROM и индикации.</w:t>
            </w:r>
          </w:p>
        </w:tc>
      </w:tr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3.1.2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Через B2B базовая плата должна предоставлять +12 В/+3,3 В, MMC и тактирование, а также выбирать bitstream E1 из Flash по Board ID.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Анализ интерфейсной документации и испытание конфигурации; проверяется наличие указанных ресурсов и выбор bitstream по Board ID.</w:t>
            </w:r>
          </w:p>
        </w:tc>
      </w:tr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3.1.3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Каждый порт должен иметь симметричный двухпарный интерфейс 120 Ом, 2048 кбит/с (2,048 Мбит/с) ±50 ppm, HDB3 или AMI, маску импульса по G.703.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Измерение сопротивления, скорости и отклонения частоты; анализ кодирования; измерение маски импульса по G.703. Допуски измерений маски — [уточнить].</w:t>
            </w:r>
          </w:p>
        </w:tc>
      </w:tr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3.1.4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Трансформаторная изоляция каждого порта должна быть не менее 1500 В RMS, 50 Гц, 1 мин; должна быть супрессорная защита от перенапряжений и ESD.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Испытание электрической прочности в указанном режиме и осмотр схем защиты; критерий — изоляция не менее 1500 В RMS при 50 Гц в течение 1 мин, наличие защиты.</w:t>
            </w:r>
          </w:p>
        </w:tc>
      </w:tr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3.1.5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КЗ, обрыв или перепутывание пар одного порта не должны влиять на другие порты и модуль.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Испытание каждого вида неисправности на одном порту с контролем остальных портов и модуля; критерий — отсутствие влияния на другие порты и модуль.</w:t>
            </w:r>
          </w:p>
        </w:tc>
      </w:tr>
    </w:tbl>
    <w:p>
      <w:pPr>
        <w:pStyle w:val="Heading2"/>
        <w:spacing w:before="160" w:after="80"/>
        <w:keepNext/>
      </w:pPr>
      <w:r>
        <w:rPr>
          <w:sz w:val="22"/>
        </w:rPr>
        <w:t xml:space="preserve">3.2 Обработка, тактирование и аварии</w:t>
      </w:r>
    </w:p>
    <w:tbl>
      <w:tblPr>
        <w:tblLayout w:type="fixed"/>
        <w:tblW w:w="9200" w:type="dxa"/>
      </w:tblPr>
      <w:tblGrid>
        <w:gridCol w:w="1150"/>
        <w:gridCol w:w="4900"/>
        <w:gridCol w:w="3150"/>
      </w:tblGrid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Идентификатор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Требование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Проверка</w:t>
            </w:r>
          </w:p>
        </w:tc>
      </w:tr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3.2.1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Для каждого порта независимо должны поддерживаться профиль А SAToP (RFC 4553): полный неструктурированный поток с настраиваемой полезной нагрузкой и минимальной аппаратной задержкой; и профиль Б CESoPSN (RFC 5086): N×64 кбит/с, TS1–TS31, G.704, CRC-4, CAS (TS16) и CCS.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Испытание каждого порта отдельно в профилях А и Б; проверяются указанные варианты, TS1–TS31, G.704, CRC-4, CAS (TS16), CCS. Значение N и критерий минимальной задержки — [уточнить].</w:t>
            </w:r>
          </w:p>
        </w:tc>
      </w:tr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3.2.2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Fabric 10GbE должен работать со Strict Priority QoS, без потерь и с минимальной задержкой коммутации.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Испытание через Fabric 10GbE с контролем потерь и задержки; точные условия трафика и критерий минимальной задержки — [уточнить].</w:t>
            </w:r>
          </w:p>
        </w:tc>
      </w:tr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3.2.3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Джиттер-буфер каждого канала должен иметь диапазон 1–64 мс для компенсации PDV.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Измерение/испытание на крайних значениях 1 и 64 мс и внутри диапазона; критерий — доступность заданного диапазона и компенсация PDV. Метод формирования PDV — [уточнить].</w:t>
            </w:r>
          </w:p>
        </w:tc>
      </w:tr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3.2.4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При потере пакетов или аварии сети должно выдаваться AIS («все единицы») с сохранением тактирования.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Испытание потерей пакетов и аварией сети; наблюдение AIS и тактирования; критерий — AIS «все единицы» и сохранение тактирования.</w:t>
            </w:r>
          </w:p>
        </w:tc>
      </w:tr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3.2.5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Режимы передатчика: системный TCLK, ACR от пакетной сети, Free-run/Holdover, Loop timing.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Функциональное испытание каждого режима; проверяется выбор и работа каждого режима. Условия переходов и критерии Holdover — [уточнить].</w:t>
            </w:r>
          </w:p>
        </w:tc>
      </w:tr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3.2.6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Восстановленные 2,048 МГц любого выбранного входного порта должны передаваться через B2B как кандидат синхронизации шасси. Джиттер и вандер — G.823.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Испытание выбора любого входного порта и передача частоты через B2B; измерение джиттера и вандера по G.823. Допуски измерения — [уточнить].</w:t>
            </w:r>
          </w:p>
        </w:tc>
      </w:tr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3.2.7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Непрерывно контролировать LOS, LOF в кадровом режиме, AIS, RAI, CRC-4, нарушения HDB3 и Frame slips.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Испытание штатными и аварийными воздействиями с наблюдением диагностик; проверяется непрерывная регистрация каждого состояния/нарушения.</w:t>
            </w:r>
          </w:p>
        </w:tc>
      </w:tr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3.2.8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Статистика G.826 должна включать ES, SES, UAS.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Испытание накопления статистики при соответствующих событиях; проверяется наличие ES, SES и UAS. Условия формирования счётчиков — [уточнить].</w:t>
            </w:r>
          </w:p>
        </w:tc>
      </w:tr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3.2.9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Для каждого порта должны быть Local Line Loopback, Payload Loopback и Packet Loopback; встроенные генератор и анализатор PRBS 2^15−1 и 2^23−1 для BER-тестов.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Испытание каждого порта в трёх петлях и с обеими последовательностями PRBS; наблюдение результата BER-теста. Критерий BER и режимы запуска — [уточнить].</w:t>
            </w:r>
          </w:p>
        </w:tc>
      </w:tr>
    </w:tbl>
    <w:p>
      <w:pPr>
        <w:pStyle w:val="Heading2"/>
        <w:spacing w:before="160" w:after="80"/>
        <w:keepNext/>
      </w:pPr>
      <w:r>
        <w:rPr>
          <w:sz w:val="22"/>
        </w:rPr>
        <w:t xml:space="preserve">3.3 Конструкция и эксплуатация</w:t>
      </w:r>
    </w:p>
    <w:tbl>
      <w:tblPr>
        <w:tblLayout w:type="fixed"/>
        <w:tblW w:w="9200" w:type="dxa"/>
      </w:tblPr>
      <w:tblGrid>
        <w:gridCol w:w="1150"/>
        <w:gridCol w:w="4900"/>
        <w:gridCol w:w="3150"/>
      </w:tblGrid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Идентификатор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Требование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Проверка</w:t>
            </w:r>
          </w:p>
        </w:tc>
      </w:tr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3.3.1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Крепление — к общему лонжерону-теплоотводу и лицевой панели; разъёмы должны оставлять доступ к защёлкам, обзор светодиодов и вентиляцию.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Осмотр конструкции и сборки; проверяются крепление, доступ к защёлкам, обзор светодиодов и вентиляционные зазоры. Численные размеры зазоров — [уточнить].</w:t>
            </w:r>
          </w:p>
        </w:tc>
      </w:tr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3.3.2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Мощность при всех активных портах: субплата ≤12 Вт, сборка ≤35 Вт.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Измерение потребляемой мощности при всех активных портах; критерии — субплата не более 12 Вт, сборка не более 35 Вт. Допуски измерения — [уточнить].</w:t>
            </w:r>
          </w:p>
        </w:tc>
      </w:tr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3.3.3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Конструкция: Single Full-size AMC.0, 73,5 × 180,6 × 28,95 мм; межплатное крепление на 4–6 металлических стойках М2,5.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Осмотр и измерение габаритов, типа исполнения и количества стоек; критерии — указанные размеры и 4–6 стоек М2,5.</w:t>
            </w:r>
          </w:p>
        </w:tc>
      </w:tr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3.3.4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Стойкость: ГОСТ РВ 20.39.304-98, группы 1.1, 1.3, 1.4.1, исполнение «О»; рабочая температура −10…+50 °C, предельная −40…+65 °C, синусоидальная вибрация 5g, удары 15g.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Испытания/анализ по ГОСТ РВ 20.39.304-98 в указанных группах и исполнении; климатические и механические воздействия — по заданным диапазонам и уровням.</w:t>
            </w:r>
          </w:p>
        </w:tc>
      </w:tr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3.3.5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Радиопомехи — группа 1.1.1 ГОСТ В 25803-91.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Испытание/анализ ЭМС по ГОСТ В 25803-91; критерий — соответствие группе 1.1.1.</w:t>
            </w:r>
          </w:p>
        </w:tc>
      </w:tr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3.3.6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MTBF — не менее 15 000 ч; назначенный срок службы — не менее 20 лет.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Расчётный или испытательный контроль надёжности согласно принятой методике; критерии — MTBF не менее 15 000 ч и срок службы не менее 20 лет. Метод оценки — [уточнить].</w:t>
            </w:r>
          </w:p>
        </w:tc>
      </w:tr>
    </w:tbl>
    <w:p>
      <w:pPr>
        <w:pStyle w:val="Heading1"/>
        <w:spacing w:before="160" w:after="80"/>
        <w:keepNext/>
      </w:pPr>
      <w:r>
        <w:rPr>
          <w:sz w:val="22"/>
        </w:rPr>
        <w:t xml:space="preserve">4 Технико-экономические требования</w:t>
      </w:r>
    </w:p>
    <w:p>
      <w:pPr>
        <w:spacing w:before="0" w:after="100"/>
      </w:pPr>
      <w:r>
        <w:rPr>
          <w:sz w:val="22"/>
        </w:rPr>
        <w:t xml:space="preserve">Технико-экономические требования к изделию не предъявляются.</w:t>
      </w:r>
    </w:p>
    <w:p>
      <w:pPr>
        <w:spacing w:before="0" w:after="100"/>
      </w:pPr>
      <w:r>
        <w:rPr>
          <w:sz w:val="22"/>
        </w:rPr>
        <w:t xml:space="preserve">Проверка: анализ ТЗ; дополнительные технико-экономические показатели и критерии не устанавливаются.</w:t>
      </w:r>
    </w:p>
    <w:p>
      <w:pPr>
        <w:pStyle w:val="Heading1"/>
        <w:spacing w:before="160" w:after="80"/>
        <w:keepNext/>
      </w:pPr>
      <w:r>
        <w:rPr>
          <w:sz w:val="22"/>
        </w:rPr>
        <w:t xml:space="preserve">5 Требования к видам обеспечения</w:t>
      </w:r>
    </w:p>
    <w:tbl>
      <w:tblPr>
        <w:tblLayout w:type="fixed"/>
        <w:tblW w:w="9200" w:type="dxa"/>
      </w:tblPr>
      <w:tblGrid>
        <w:gridCol w:w="1150"/>
        <w:gridCol w:w="4900"/>
        <w:gridCol w:w="3150"/>
      </w:tblGrid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Идентификатор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Требование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Проверка</w:t>
            </w:r>
          </w:p>
        </w:tc>
      </w:tr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5.1 Нормативное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При разработке и проверке применять документы, перечисленные в настоящем ТЗ и в перечне применимых документов.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Проверка состава РКД, программной документации и ПМИ на ссылки на применимые документы; полный перечень приведён выше.</w:t>
            </w:r>
          </w:p>
        </w:tc>
      </w:tr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5.2 Метрологическое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Предусмотреть средства и методики измерения маски импульса E1, джиттера/вандера, BER и задержки пакетизации; незаданные допуски не устанавливать.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Анализ комплекта средств и методик; наличие средств и методик проверяется, численные допуски и погрешности — [уточнить].</w:t>
            </w:r>
          </w:p>
        </w:tc>
      </w:tr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5.3 Диагностическое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Обеспечить регистрацию LOS/LOF/AIS/RAI и счётчиков ошибок, формирование сообщений и отчётов для РМО.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Испытание аварий и ошибок; проверяются регистрация, сообщения и отчёты в РМО. Форматы и состав отчётов — [уточнить].</w:t>
            </w:r>
          </w:p>
        </w:tc>
      </w:tr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5.4 Программное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Предусмотреть bitstream функционального модуля для Flash базовой платы, драйверы Linux и MIB для РМО / SNMP.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Анализ комплекта программной документации и испытание загрузки/работы; проверяется наличие bitstream, драйверов Linux и MIB для РМО/SNMP.</w:t>
            </w:r>
          </w:p>
        </w:tc>
      </w:tr>
    </w:tbl>
    <w:p>
      <w:pPr>
        <w:pStyle w:val="Heading1"/>
        <w:spacing w:before="160" w:after="80"/>
        <w:keepNext/>
      </w:pPr>
      <w:r>
        <w:rPr>
          <w:sz w:val="22"/>
        </w:rPr>
        <w:t xml:space="preserve">6 Требования к сырью, материалам и комплектующим изделиям</w:t>
      </w:r>
    </w:p>
    <w:tbl>
      <w:tblPr>
        <w:tblLayout w:type="fixed"/>
        <w:tblW w:w="9200" w:type="dxa"/>
      </w:tblPr>
      <w:tblGrid>
        <w:gridCol w:w="1150"/>
        <w:gridCol w:w="4900"/>
        <w:gridCol w:w="3150"/>
      </w:tblGrid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Идентификатор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Требование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Проверка</w:t>
            </w:r>
          </w:p>
        </w:tc>
      </w:tr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6.1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Предусмотреть приоритет отечественных материалов и комплектующих с приёмкой ОТК.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Анализ ведомости материалов и комплектующих и документов приёмки ОТК; проверяется приоритет отечественных позиций.</w:t>
            </w:r>
          </w:p>
        </w:tc>
      </w:tr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6.2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При отсутствии аналогов разрешить импортную ЭКБ промышленного температурного диапазона.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Анализ обоснования отсутствия аналогов и спецификации ЭКБ; промышленный температурный диапазон должен быть подтверждён документами поставщика. Конкретный диапазон — [уточнить].</w:t>
            </w:r>
          </w:p>
        </w:tc>
      </w:tr>
    </w:tbl>
    <w:p>
      <w:pPr>
        <w:pStyle w:val="Heading1"/>
        <w:spacing w:before="160" w:after="80"/>
        <w:keepNext/>
      </w:pPr>
      <w:r>
        <w:rPr>
          <w:sz w:val="22"/>
        </w:rPr>
        <w:t xml:space="preserve">7 Требования к консервации, упаковке и маркировке</w:t>
      </w:r>
    </w:p>
    <w:tbl>
      <w:tblPr>
        <w:tblLayout w:type="fixed"/>
        <w:tblW w:w="9200" w:type="dxa"/>
      </w:tblPr>
      <w:tblGrid>
        <w:gridCol w:w="1150"/>
        <w:gridCol w:w="4900"/>
        <w:gridCol w:w="3150"/>
      </w:tblGrid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Идентификатор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Требование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Проверка</w:t>
            </w:r>
          </w:p>
        </w:tc>
      </w:tr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7.1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Предусмотреть децимальный и серийный номера, ревизию и маркировку E1-1…E1-8.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Осмотр маркировки изделия и упаковки; проверяется наличие децимального номера, серийного номера, ревизии и обозначений E1-1…E1-8.</w:t>
            </w:r>
          </w:p>
        </w:tc>
      </w:tr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7.2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Предусмотреть индивидуальную тару с ESD-защитой.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Осмотр упаковки; критерий — индивидуальная тара и ESD-защита.</w:t>
            </w:r>
          </w:p>
        </w:tc>
      </w:tr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7.3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Хранение в заводской таре — не менее 1 года по ГОСТ 15150. Незаданные условия консервации не дополнять.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Анализ упаковочной документации и проверка срока хранения; критерий — не менее 1 года по ГОСТ 15150. Дополнительные условия не устанавливаются.</w:t>
            </w:r>
          </w:p>
        </w:tc>
      </w:tr>
    </w:tbl>
    <w:p>
      <w:pPr>
        <w:pStyle w:val="Heading1"/>
        <w:spacing w:before="160" w:after="80"/>
        <w:keepNext/>
      </w:pPr>
      <w:r>
        <w:rPr>
          <w:sz w:val="22"/>
        </w:rPr>
        <w:t xml:space="preserve">8 Специальные требования</w:t>
      </w:r>
    </w:p>
    <w:tbl>
      <w:tblPr>
        <w:tblLayout w:type="fixed"/>
        <w:tblW w:w="9200" w:type="dxa"/>
      </w:tblPr>
      <w:tblGrid>
        <w:gridCol w:w="1150"/>
        <w:gridCol w:w="4900"/>
        <w:gridCol w:w="3150"/>
      </w:tblGrid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Идентификатор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Требование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Проверка</w:t>
            </w:r>
          </w:p>
        </w:tc>
      </w:tr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8.1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Телеметрия РМО (C++/Qt) должна включать мнемосхему 8 портов, LOS/LOF/AIS/RAI, счётчики G.826, SAToP/CESoPSN и источник тактирования.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Испытание РМО и анализ экранных форм; проверяется отображение восьми портов, состояний, счётчиков G.826, профилей SAToP/CESoPSN и источника тактирования.</w:t>
            </w:r>
          </w:p>
        </w:tc>
      </w:tr>
      <w:tr>
        <w:tc>
          <w:tcPr>
            <w:tcW w:w="1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8.2</w:t>
            </w:r>
          </w:p>
        </w:tc>
        <w:tc>
          <w:tcPr>
            <w:tcW w:w="49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Команды РМО должны обеспечивать включение/отключение портов, изменение джиттер-буфера, диагностические петли и PRBS.</w:t>
            </w:r>
          </w:p>
        </w:tc>
        <w:tc>
          <w:tcPr>
            <w:tcW w:w="31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Испытание каждой команды на выбранном порту; наблюдаемый результат — выполнение включения/отключения, изменения буфера, запуска петель и PRBS. Формат команд и права доступа — [уточнить].</w:t>
            </w:r>
          </w:p>
        </w:tc>
      </w:tr>
    </w:tbl>
    <w:p>
      <w:pPr>
        <w:spacing w:before="0" w:after="100"/>
      </w:pPr>
      <w:r>
        <w:rPr>
          <w:sz w:val="22"/>
        </w:rPr>
        <w:t xml:space="preserve">Примечание — Настоящий проект ТЗ не устанавливает самостоятельные разделы об учебно-тренировочных средствах, этапах ОКР, порядке приёмки этапов или приложения, поскольку они исключены заданием. Сроки работ связаны с утверждённым планом-графиком в пункте 1.4.</w:t>
      </w:r>
    </w:p>
    <w:p>
      <w:r>
        <w:br w:type="page"/>
      </w:r>
    </w:p>
    <w:p>
      <w:pPr>
        <w:pStyle w:val="Heading1"/>
        <w:spacing w:before="160" w:after="80"/>
        <w:keepNext/>
      </w:pPr>
      <w:r>
        <w:rPr>
          <w:sz w:val="22"/>
        </w:rPr>
        <w:t xml:space="preserve">ПОДПИСИ РАЗРАБОТЧИКОВ ТЗ И СОГЛАСУЮЩИХ ОРГАНИЗАЦИЙ</w:t>
      </w:r>
    </w:p>
    <w:tbl>
      <w:tblPr>
        <w:tblLayout w:type="fixed"/>
        <w:tblW w:w="9000" w:type="dxa"/>
      </w:tblPr>
      <w:tblGrid>
        <w:gridCol w:w="3400"/>
        <w:gridCol w:w="3300"/>
        <w:gridCol w:w="2300"/>
      </w:tblGrid>
      <w:tr>
        <w:tc>
          <w:tcPr>
            <w:tcW w:w="34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Должность / организация</w:t>
            </w:r>
          </w:p>
        </w:tc>
        <w:tc>
          <w:tcPr>
            <w:tcW w:w="33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Подпись, инициалы, фамилия</w:t>
            </w:r>
          </w:p>
        </w:tc>
        <w:tc>
          <w:tcPr>
            <w:tcW w:w="23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Дата</w:t>
            </w:r>
          </w:p>
        </w:tc>
      </w:tr>
      <w:tr>
        <w:tc>
          <w:tcPr>
            <w:tcW w:w="34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Разработчик ТЗ: [уточнить]</w:t>
            </w:r>
          </w:p>
        </w:tc>
        <w:tc>
          <w:tcPr>
            <w:tcW w:w="33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________________________</w:t>
            </w:r>
          </w:p>
        </w:tc>
        <w:tc>
          <w:tcPr>
            <w:tcW w:w="23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«___» __________ 20__ г.</w:t>
            </w:r>
          </w:p>
        </w:tc>
      </w:tr>
      <w:tr>
        <w:tc>
          <w:tcPr>
            <w:tcW w:w="34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Исполнитель СЧ ОКР: ООО «тушканчик»</w:t>
            </w:r>
          </w:p>
        </w:tc>
        <w:tc>
          <w:tcPr>
            <w:tcW w:w="33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________________________</w:t>
            </w:r>
          </w:p>
        </w:tc>
        <w:tc>
          <w:tcPr>
            <w:tcW w:w="23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«___» __________ 20__ г.</w:t>
            </w:r>
          </w:p>
        </w:tc>
      </w:tr>
      <w:tr>
        <w:tc>
          <w:tcPr>
            <w:tcW w:w="34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Заказчик (НИО заказчика): [уточнить]</w:t>
            </w:r>
          </w:p>
        </w:tc>
        <w:tc>
          <w:tcPr>
            <w:tcW w:w="33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________________________</w:t>
            </w:r>
          </w:p>
        </w:tc>
        <w:tc>
          <w:tcPr>
            <w:tcW w:w="23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«___» __________ 20__ г.</w:t>
            </w:r>
          </w:p>
        </w:tc>
      </w:tr>
      <w:tr>
        <w:tc>
          <w:tcPr>
            <w:tcW w:w="34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Головной исполнитель ОКР: [уточнить]</w:t>
            </w:r>
          </w:p>
        </w:tc>
        <w:tc>
          <w:tcPr>
            <w:tcW w:w="33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________________________</w:t>
            </w:r>
          </w:p>
        </w:tc>
        <w:tc>
          <w:tcPr>
            <w:tcW w:w="23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fill="D9EAF7"/>
          </w:tcPr>
          <w:p>
            <w:pPr>
              <w:spacing w:before="0" w:after="0"/>
            </w:pPr>
            <w:r>
              <w:rPr>
                <w:sz w:val="22"/>
              </w:rPr>
              <w:t xml:space="preserve">«___» __________ 20__ г.</w:t>
            </w:r>
          </w:p>
        </w:tc>
      </w:tr>
    </w:tbl>
    <w:sectPr>
      <w:headerReference w:type="default" r:id="rId2"/>
      <w:footerReference w:type="default" r:id="rId3"/>
      <w:pgSz w:w="11906" w:h="16838"/>
      <w:pgMar w:top="1134" w:right="1134" w:bottom="1134" w:left="1134" w:header="567" w:footer="567"/>
    </w:sectPr>
  </w:body>
</w:document>
</file>

<file path=word/footer.xml><?xml version="1.0" encoding="utf-8"?>
<w:ftr xmlns:w="http://schemas.openxmlformats.org/wordprocessingml/2006/main">
  <w:p>
    <w:pPr>
      <w:jc w:val="center"/>
    </w:pPr>
    <w:r>
      <w:t>Техническое задание — «Развитие-ТСА»</w:t>
    </w:r>
  </w:p>
</w:ftr>
</file>

<file path=word/header.xml><?xml version="1.0" encoding="utf-8"?>
<w:hdr xmlns:w="http://schemas.openxmlformats.org/wordprocessingml/2006/main">
  <w:p>
    <w:pPr>
      <w:jc w:val="right"/>
    </w:pPr>
    <w:r>
      <w:fldChar w:fldCharType="begin"/>
      <w:instrText> PAGE </w:instrText>
      <w:fldChar w:fldCharType="end"/>
    </w:r>
  </w:p>
</w:hdr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/>
        <w:sz w:val="22"/>
      </w:rPr>
    </w:rPrDefault>
  </w:docDefaults>
  <w:style w:type="paragraph" w:default="1" w:styleId="Normal">
    <w:name w:val="Normal"/>
    <w:pPr>
      <w:spacing w:line="276" w:lineRule="auto" w:after="100"/>
    </w:pPr>
  </w:style>
  <w:style w:type="paragraph" w:styleId="Title">
    <w:name w:val="Title"/>
    <w:rPr>
      <w:b/>
      <w:sz w:val="30"/>
    </w:rPr>
    <w:pPr>
      <w:jc w:val="center"/>
    </w:pPr>
  </w:style>
  <w:style w:type="paragraph" w:styleId="Subtitle">
    <w:name w:val="Subtitle"/>
    <w:rPr>
      <w:b/>
      <w:sz w:val="24"/>
    </w:rPr>
    <w:pPr>
      <w:jc w:val="center"/>
    </w:pPr>
  </w:style>
  <w:style w:type="paragraph" w:styleId="Heading1">
    <w:name w:val="Heading 1"/>
    <w:rPr>
      <w:b/>
      <w:sz w:val="28"/>
    </w:rPr>
    <w:pPr>
      <w:keepNext/>
      <w:spacing w:before="240" w:after="120"/>
    </w:pPr>
  </w:style>
  <w:style w:type="paragraph" w:styleId="Heading2">
    <w:name w:val="Heading 2"/>
    <w:rPr>
      <w:b/>
      <w:sz w:val="24"/>
    </w:rPr>
    <w:pPr>
      <w:keepNext/>
      <w:spacing w:before="180" w:after="8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.xml"/><Relationship Id="rId3" Type="http://schemas.openxmlformats.org/officeDocument/2006/relationships/footer" Target="footer.xml"/></Relationships>
</file>