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СОГЛАСОВАНО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Заказчик: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Должность: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__________ /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«__» ________ 20__ г.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СОГЛАСОВАНО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Исполнитель составной части ОКР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ООО «тушканчик»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Должность: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__________ /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«__» ________ 20__ г.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УТВЕРЖДАЮ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Головной исполнитель ОКР: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Должность: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__________ / [уточнить]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«__» ________ 20__ г.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600" w:after="180" w:line="276" w:lineRule="auto"/>
        <w:jc w:val="both"/>
      </w:pPr>
      <w:r>
        <w:rPr>
          <w:rFonts w:ascii="Times New Roman" w:hAnsi="Times New Roman" w:cs="Times New Roman"/>
          <w:sz w:val="36"/>
          <w:szCs w:val="36"/>
          <w:b/>
        </w:rPr>
        <w:t xml:space="preserve">ТЕХНИЧЕСКОЕ ЗАДАНИЕ</w:t>
      </w:r>
    </w:p>
    <w:p>
      <w:pPr>
        <w:spacing w:before="240" w:after="160" w:line="276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НА СОСТАВНУЮ ЧАСТЬ ОПЫТНО-КОНСТРУКТОРСКОЙ РАБОТЫ</w:t>
      </w:r>
    </w:p>
    <w:p>
      <w:pPr>
        <w:spacing w:before="160" w:after="12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spacing w:before="160" w:after="12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Шифр ОКР «Развитие-ТСА»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Обозначение составной части изделия: [уточнить]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Регистрационный номер: [уточнить]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0" w:after="80" w:line="276" w:lineRule="auto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Действует с дополнением: —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[уточнить]</w:t>
      </w:r>
    </w:p>
    <w:p>
      <w:r>
        <w:br w:type="page"/>
      </w:r>
    </w:p>
    <w:p>
      <w:pPr>
        <w:spacing w:before="240" w:after="160" w:line="276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ЛИСТ СОГЛАСОВАНИЯ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Организация, подразделение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Должность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ФИО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Подпись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Дата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Заказчик: 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Головной исполнитель ОКР: 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Исполнитель СЧ ОКР — ООО «тушканчик»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Другие согласующие организации: 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</w:tbl>
    <w:p>
      <w:r>
        <w:br w:type="page"/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ПЕРЕЧЕНЬ ОБОЗНАЧЕНИЙ И СОКРАЩЕНИЙ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</w:tblGrid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Обозначение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Значение в настоящем ТЗ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ACR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Источник тактирования, восстанавливаемый от пакетной сети;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AIS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Аварийный сигнал; при потере пакетов или аварии сети формируется сигнал «все единицы».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AMC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Форм-фактор изделия согласно PICMG AMC.0 R2.0;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B2B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Межплатный интерфейс субплаты и базовой платы; через него предоставляются питание, MMC, тактирование и выбор bitstream, а также передаётся кандидат синхронизации.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BER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Показатель, контролируемый встроенными генератором и анализатором PRBS;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Board ID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Идентификатор субплаты в EEPROM, используемый базовой платой для автоматического выбора bitstream E1. Числовое значение — [уточнить].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CAS, CCS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Поддерживаемые режимы сигнализации профиля CESoPSN; CAS использует TS16. Расшифровки сокращений в исходных данных не приведены.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CESoPSN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Профиль Б по RFC 5086 для N×64 кбит/с, TS1–TS31, G.704, CRC-4, CAS (TS16) и CCS.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E1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Цифровая линия с симметричным двухпарным интерфейсом 120 Ом и скоростью 2048 кбит/с (2,048 Мбит/с) ±50 ppm.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ES, SES, UAS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Показатели статистики G.826; расшифровки сокращений в исходных данных не приведены.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LIU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Восьмиканальный узел линейных интерфейсов;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LOS, LOF, RAI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Контролируемые аварийные состояния/сигналы; LOF контролируется в кадровом режиме. Расшифровки сокращений в исходных данных не приведены.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MIB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Программное обеспечение для РМО / SNMP;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MMC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Функция/интерфейс базовой платы, предоставляемый через B2B;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PRBS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Псевдослучайная последовательность 2^15−1 или 2^23−1 для BER-тестов;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РКД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Рабочая конструкторская документация (ГОСТ 15.016-2016, пункт 3.10 и раздел 4).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РМО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Средство телеметрии на C++/Qt с мнемосхемой восьми портов, индикацией состояний и счётчиков, а также командами управления;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SAToP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Профиль А по RFC 4553: полный неструктурированный поток с настраиваемой полезной нагрузкой.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SNMP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Интерфейс, для которого требуется MIB;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TCLK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Системный источник тактирования передатчика;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TDM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Поток, передаваемый через Ethernet;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ОКР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Опытно-конструкторская работа (ГОСТ 15.016-2016, раздел 4).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ПЛИС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Программируемая логика базовой платы, в которой реализуется функциональный модуль E1; точная расшифровка сокращения в исходных данных не приведена.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ПМИ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Расшифровка и состав документа в исходных данных не заданы — [уточнить].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СЧ ОКР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Составная часть опытно-конструкторской работы.</w:t>
            </w:r>
          </w:p>
        </w:tc>
      </w:tr>
    </w:tbl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ПЕРЕЧЕНЬ ПРИМЕНИМЫХ НОРМАТИВНЫХ И СПРАВОЧНЫХ ДОКУМЕНТОВ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</w:tblGrid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Обозначение документа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Применение в настоящем ТЗ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ГОСТ 15.016-2016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Построение, содержание, изложение и оформление ТЗ на СЧ ОКР — разделы 6.1, 6.2 и 7.1.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ITU-T G.703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Интерфейс E1 и маска импульса.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ITU-T G.704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Кадровая обработка профиля CESoPSN.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ITU-T G.823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Джиттер и вандер.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ITU-T G.826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Статистика ES, SES, UAS.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RFC 4553 (SAToP)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Профиль А передачи TDM через пакетную сеть.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RFC 5086 (CESoPSN)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Профиль Б передачи N×64 кбит/с.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PICMG AMC.0 R2.0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Конструктивное исполнение Single Full-size AMC.0.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ГОСТ РВ 20.39.304-98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Стойкость к внешним воздействиям: группы 1.1, 1.3, 1.4.1, исполнение «О».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ГОСТ В 25803-91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Радиопомехи: группа 1.1.1.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ГОСТ 2.114-2016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Применимый нормативный документ; конкретная область применения — [уточнить].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ГОСТ РВ 15.201-2003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Применимый нормативный документ; конкретная область применения — [уточнить].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ГОСТ 15150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Хранение изделия в заводской таре.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0"/>
          <w:szCs w:val="20"/>
          <w:i/>
        </w:rPr>
        <w:t xml:space="preserve">Примечание — Редакции и официальные наименования документов, кроме обозначения ГОСТ 15.016-2016, в исходных данных не приведены; они подлежат уточнению без изменения обозначений, заданных заказчиком.</w:t>
      </w:r>
    </w:p>
    <w:p>
      <w:r>
        <w:br w:type="page"/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1 Наименование, шифр ОКР, основание, исполнитель и сроки выполнения ОКР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1.1 Наименование СЧ ОКР —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1.2 Шифр ОКР — «Развитие-ТСА». Дополнительный шифр СЧ ОКР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1.3 Основание для выполнения инициативной ОКР — приказ об открытии инициативной ОКР № [уточнить] от [уточнить]. Полное наименование приказа и дата его утверждения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1.4 Исполнитель СЧ ОКР — ООО «тушканчик».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1.5 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Календарные сроки и реквизиты плана-графика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0"/>
          <w:szCs w:val="20"/>
          <w:i/>
        </w:rPr>
        <w:t xml:space="preserve">Примечание — В соответствии с пунктом 7.1.2 ГОСТ 15.016-2016 сроки СЧ ОКР должны быть установлены применительно к срокам ОКР; сроки ОКР в исходных данных отсутствуют — [уточнить].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2 Цель выполнения, наименование, назначение и область применения изделия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2.1 Цель СЧ ОКР — разработать сменную интерфейсную субплату 8×E1 и функциональный модуль E1 для универсального базового модуля AMC семейства ДММП, обеспечивающие подключение восьми независимых линий E1 к платформе ДММП, передачу TDM через Ethernet, компенсацию сетевого джиттера и восстановление частоты.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2.2 Изделие должно включать аппаратную часть — сменную субплату с интерфейсами, защитой, трансиверами и EEPROM — и логическую часть — функциональный модуль ПЛИС базовой платы, автоматически активируемый по Board ID.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2.3 AMC с установленной субплатой должен устанавливаться на Carrier платформы ДММП.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2.4 Область применения изделия: TDM/SDH/PDH, телефонные станции, диспетчеризация и АСУ ТП энергетических и промышленных предприятий.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2.5 Полное обозначение изделия — [уточнить].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3 Технические требования к изделию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3.1 Архитектура и линии E1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3.1.1 Субплата должна содержать восемь экранированных разъёмов RJ-48C (8P8C), средства защиты, импульсные трансформаторы, восьмиканальный LIU, EEPROM Board ID и индикацию портов.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3.1.2 Числовое значение Board ID — [уточнить]. Значение должно однозначно обеспечивать выбор базовой платой bitstream E1 из Flash.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3.1.3 Базовая плата должна предоставлять субплате через B2B питание +12 В и +3,3 В, MMC и тактирование, а также выбирать bitstream E1 из Flash по Board ID.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3.1.4 Каждый из восьми портов E1 должен иметь симметричный двухпарный интерфейс сопротивлением 120 Ом и обеспечивать скорость 2048 кбит/с (2,048 Мбит/с) с допустимым отклонением ±50 ppm.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3.1.5 Каждый порт должен поддерживать линейное кодирование HDB3 или AMI и маску импульса по ITU-T G.703.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3.1.6 Трансформаторная изоляция каждого порта должна быть не менее 1500 В RMS при частоте 50 Гц в течение 1 мин.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3.1.7 Каждый порт должен иметь супрессорную защиту от перенапряжений и ESD.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3.1.8 Короткое замыкание, обрыв или перепутывание пар одного порта не должны влиять на другие порты и модуль.</w:t>
      </w:r>
    </w:p>
    <w:p>
      <w:pPr>
        <w:spacing w:before="120" w:after="80" w:line="276" w:lineRule="auto"/>
        <w:jc w:val="both"/>
        <w:keepNext/>
      </w:pPr>
      <w:r>
        <w:rPr>
          <w:rFonts w:ascii="Times New Roman" w:hAnsi="Times New Roman" w:cs="Times New Roman"/>
          <w:sz w:val="24"/>
          <w:szCs w:val="24"/>
          <w:b/>
        </w:rPr>
        <w:t xml:space="preserve">3.1.9 Проверка требований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3.1.9.1 Состав субплаты, число и тип разъёмов, наличие защиты, трансформаторов, LIU, EEPROM и индикации проверяют осмотром и анализом РКД; результат должен соответствовать 3.1.1.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3.1.9.2 При установленной субплате проверяют чтение Board ID и автоматический выбор bitstream E1. Критерий — выбран bitstream E1; числовое значение Board ID должно быть задано до разработки ПМИ.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3.1.9.3 На каждом порту измеряют сопротивление интерфейса, скорость и её отклонение, маску импульса и электрическую прочность изоляции при условиях 3.1.4–3.1.6; критерии — значения и режимы 3.1.4–3.1.6. Пределы допускаемой погрешности средств измерений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3.1.9.4 Для каждого порта поочерёдно воспроизводят короткое замыкание, обрыв и перепутывание пар и наблюдают остальные порты и модуль. Критерий — отсутствие влияния согласно 3.1.8; конкретные наблюдаемые показатели работоспособности — [уточнить] до разработки ПМИ.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3.1.9.5 Наличие супрессорной защиты проверяют осмотром и анализом РКД. Испытательные уровни перенапряжений и ESD и пределы погрешности — [уточнить]; без них проверка эффективности защиты не является полностью определённой.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3.2 Обработка, тактирование и аварии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 Для каждого порта независимо должен поддерживаться профиль А SAToP по RFC 4553: полный неструктурированный поток с настраиваемой полезной нагрузкой и минимальной аппаратной задержкой.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3.2.2 Для каждого порта независимо должен поддерживаться профиль Б CESoPSN по RFC 5086: N×64 кбит/с, TS1–TS31, G.704, CRC-4, CAS (TS16) и CCS.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3.2.3 Передача должна выполняться через Fabric 10GbE со Strict Priority QoS без потерь и с минимальной задержкой коммутации.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3.2.4 Джиттер-буфер каждого канала должен настраиваться в диапазоне от 1 до 64 мс и компенсировать PDV.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3.2.5 При потере пакетов или аварии сети изделие должно выдавать AIS («все единицы») с сохранением тактирования.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3.2.6 Передатчик должен поддерживать режимы тактирования: системный TCLK, ACR от пакетной сети, Free-run/Holdover и Loop timing.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3.2.7 Восстановленный сигнал 2,048 МГц любого выбранного входного порта должен передаваться через B2B как кандидат синхронизации шасси.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3.2.8 Характеристики джиттера и вандера должны соответствовать ITU-T G.823.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3.2.9 Изделие должно непрерывно и независимо по портам контролировать LOS, LOF в кадровом режиме, AIS, RAI, CRC-4, нарушения HDB3 и Frame slips.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3.2.10 Изделие должно вести по каждому порту статистику G.826: ES, SES и UAS.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3.2.11 Для каждого порта должны поддерживаться Local Line Loopback, Payload Loopback и Packet Loopback.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3.2.12 Для каждого порта должны быть предусмотрены встроенные генератор и анализатор PRBS 2^15−1 и 2^23−1 для BER-тестов.</w:t>
      </w:r>
    </w:p>
    <w:p>
      <w:pPr>
        <w:spacing w:before="120" w:after="80" w:line="276" w:lineRule="auto"/>
        <w:jc w:val="both"/>
        <w:keepNext/>
      </w:pPr>
      <w:r>
        <w:rPr>
          <w:rFonts w:ascii="Times New Roman" w:hAnsi="Times New Roman" w:cs="Times New Roman"/>
          <w:sz w:val="24"/>
          <w:szCs w:val="24"/>
          <w:b/>
        </w:rPr>
        <w:t xml:space="preserve">3.2.13 Проверка требований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3.2.13.1 На каждом порту в профилях SAToP и CESoPSN подают соответствующие потоки и проверяют обработку, независимость портов и поддерживаемые функции. Критерии — состав функций по 3.2.1 и 3.2.2; значения настраиваемой полезной нагрузки и N — [уточнить] до разработки ПМИ.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3.2.13.2 При передаче через Fabric 10GbE проверяют применение Strict Priority QoS, отсутствие потерь и задержку коммутации. Числовые критерии потерь и «минимальной задержки» в исходных данных не заданы — [уточнить] до разработки ПМИ.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3.2.13.3 Для каждого канала задают граничные значения джиттер-буфера 1 и 64 мс и промежуточное значение, воздействуют PDV и наблюдают передачу. Критерий — доступность всего диапазона 1–64 мс и компенсация PDV; профиль PDV и пределы погрешности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3.2.13.4 Имитируют потерю пакетов и аварию сети. Критерий — на выходе формируется AIS «все единицы», тактирование сохраняется.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3.2.13.5 Последовательно выбирают TCLK, ACR, Free-run/Holdover и Loop timing и наблюдают тактирование передатчика; критерий — работа в каждом режиме. Условия переходов и количественные характеристики удержания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3.2.13.6 Поочерёдно выбирают каждый входной порт и измеряют сигнал-кандидат на B2B. Критерий — передача восстановленных 2,048 МГц выбранного порта; предел допускаемой погрешности измерения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3.2.13.7 Джиттер и вандер измеряют в предусмотренных режимах тактирования; критерии — применимые нормы ITU-T G.823. Конкретные профили испытаний и пределы погрешности — [уточнить] по применимой редакции документа.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3.2.13.8 На каждом порту создают LOS, LOF в кадровом режиме, AIS, RAI, ошибку CRC-4, нарушение HDB3 и Frame slip. Критерий — непрерывное обнаружение и индикация соответствующего события на затронутом порту.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3.2.13.9 При потоках с событиями, относимыми к ES, SES и UAS, наблюдают статистику каждого порта. Критерий — формирование счётчиков G.826; параметры потоков и точные правила оценки определяют по применимой редакции ITU-T G.826.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3.2.13.10 На каждом порту последовательно включают Local Line Loopback, Payload Loopback и Packet Loopback и проверяют возврат соответствующего сигнала/полезной нагрузки/пакетов. Критерий — работоспособность каждой петли независимо по портам.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3.2.13.11 На каждом порту выполняют BER-тесты с PRBS 2^15−1 и 2^23−1 встроенными генератором и анализатором. Критерий — генерация и анализ обеих последовательностей; требуемое значение BER и длительность испытания — [уточнить].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3.3 Конструкция и эксплуатация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 Субплата должна крепиться к общему лонжерону-теплоотводу и лицевой панели.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3.3.2 Размещение разъёмов должно сохранять доступ к защёлкам, обзор светодиодов и вентиляцию.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3.3.3 Потребляемая мощность при всех активных портах должна быть: субплата — не более 12 Вт; сборка — не более 35 Вт.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3.3.4 Конструктивное исполнение — Single Full-size AMC.0 по PICMG AMC.0 R2.0; габаритные размеры — 73,5 × 180,6 × 28,95 мм.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3.3.5 Межплатное крепление должно выполняться на 4–6 металлических стойках М2,5.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3.3.6 Изделие должно соответствовать требованиям стойкости ГОСТ РВ 20.39.304-98 для групп 1.1, 1.3, 1.4.1, исполнение «О».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3.3.7 Рабочий диапазон температуры должен составлять от −10 до +50 °C; предельный диапазон — от −40 до +65 °C.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3.3.8 Изделие должно выдерживать синусоидальную вибрацию 5g и удары 15g.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3.3.9 Радиопомехи должны соответствовать группе 1.1.1 ГОСТ В 25803-91.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3.3.10 Средняя наработка на отказ (MTBF) должна быть не менее 15 000 ч.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3.3.11 Назначенный срок службы должен быть не менее 20 лет.</w:t>
      </w:r>
    </w:p>
    <w:p>
      <w:pPr>
        <w:spacing w:before="120" w:after="80" w:line="276" w:lineRule="auto"/>
        <w:jc w:val="both"/>
        <w:keepNext/>
      </w:pPr>
      <w:r>
        <w:rPr>
          <w:rFonts w:ascii="Times New Roman" w:hAnsi="Times New Roman" w:cs="Times New Roman"/>
          <w:sz w:val="24"/>
          <w:szCs w:val="24"/>
          <w:b/>
        </w:rPr>
        <w:t xml:space="preserve">3.3.12 Проверка требований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3.3.12.1 Крепление, доступ к защёлкам, обзор светодиодов, вентиляцию, исполнение, габариты, число и тип стоек проверяют осмотром и измерением. Критерии — 3.3.1, 3.3.2, 3.3.4 и 3.3.5; пределы допускаемой погрешности измерения габаритов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3.3.12.2 При всех активных портах измеряют мощность субплаты и сборки. Критерии — не более 12 и 35 Вт соответственно; режим трафика и пределы допускаемой погрешности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3.3.12.3 Стойкость к температуре, синусоидальной вибрации и ударам проверяют испытаниями в условиях 3.3.6–3.3.8. Критерий работоспособности после и/или во время воздействий, направления, длительности и пределы погрешностей — [уточнить] по применимым положениям ГОСТ РВ 20.39.304-98.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3.3.12.4 Радиопомехи измеряют в режимах, установленных применимыми положениями ГОСТ В 25803-91. Критерий — соответствие группе 1.1.1; конкретные режимы и пределы погрешности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3.3.12.5 MTBF и назначенный срок службы подтверждают расчётом и анализом РКД. Критерии — не менее 15 000 ч и 20 лет соответственно; исходные данные и методики расчёта — [уточнить].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4 Технико-экономические требования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4.1 Технико-экономические требования к изделию не предъявляются.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5 Требования к видам обеспечения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5.1 Нормативное обеспечение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5.1.1 При разработке должны применяться документы, приведённые в перечне применимых нормативных и справочных документов настоящего ТЗ, в части, относящейся к изделию и выполняемой работе.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5.1.2 Форма подтверждения соответствия обязательным требованиям стандартов и технических регламентов — [уточнить].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5.1.3 Редакции документов, конкретная применимость их положений, порядок обеспечения участников ОКР документами и необходимость нормативной экспертизы — [уточнить] до начала разработки РКД и ПМИ.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5.2 Метрологическое обеспечение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5.2.1 Должны быть предусмотрены средства и методики измерения маски импульса E1, джиттера и вандера, BER и задержки пакетизации.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5.2.2 Диапазоны, допускаемые погрешности, применяемые средства измерений и методики метрологического обеспечения — [уточнить] до разработки ПМИ; незаданные допуски не устанавливаются настоящим ТЗ.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5.3 Диагностическое обеспечение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5.3.1 Должна обеспечиваться регистрация LOS, LOF, AIS, RAI и счётчиков ошибок.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5.3.2 Должно обеспечиваться формирование сообщений и отчётов для РМО.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5.4 Программное обеспечение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5.4.1 В состав программного обеспечения должны входить bitstream функционального модуля E1 для Flash базовой платы, драйверы Linux и MIB для РМО / SNMP.</w:t>
      </w:r>
    </w:p>
    <w:p>
      <w:pPr>
        <w:spacing w:before="180" w:after="100" w:line="276" w:lineRule="auto"/>
        <w:jc w:val="both"/>
        <w:keepNext/>
      </w:pPr>
      <w:r>
        <w:rPr>
          <w:rFonts w:ascii="Times New Roman" w:hAnsi="Times New Roman" w:cs="Times New Roman"/>
          <w:sz w:val="26"/>
          <w:szCs w:val="26"/>
          <w:b/>
        </w:rPr>
        <w:t xml:space="preserve">5.5 Проверка требований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5.5.1 Нормативное обеспечение проверяют анализом перечня применённых документов и РКД; критерий — учёт документов из перечня в применимой части.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5.5.2 Метрологическое обеспечение проверяют анализом средств и методик и проведением измерений по 5.2.1; окончательные критерии зависят от параметров, перечисленных в 5.2.2.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5.5.3 Создают LOS, LOF, AIS, RAI и события ошибок и проверяют регистрацию, сообщения и отчёты РМО. Критерий — наличие соответствующих записей, сообщений и отчётов.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5.5.4 Наличие и работоспособность bitstream, драйверов Linux и MIB проверяют анализом комплектности и функциональным испытанием с базовой платой и РМО / SNMP; версии программных сред и набор операций — [уточнить].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6 Требования к сырью, материалам и комплектующим изделиям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6.1 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6.3 Выполнение 6.1 и 6.2 проверяют анализом перечня материалов и комплектующих, документов о приёмке ОТК и обоснований отсутствия отечественных аналогов. Конкретные границы промышленного температурного диапазона в исходных данных не заданы — [уточнить].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7 Требования к консервации, упаковке и маркировке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7.1 Маркировка изделия должна содержать децимальный номер, серийный номер и ревизию.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7.2 Порты должны иметь маркировку E1-1…E1-8.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7.3 Изделие должно упаковываться в индивидуальную тару с ESD-защитой.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7.4 Срок хранения изделия в заводской таре должен быть не менее 1 года по ГОСТ 15150.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7.5 Условия консервации и незаданные условия хранения и транспортирования — [уточнить]; настоящим ТЗ дополнительные условия не устанавливаются.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7.6 Маркировку, комплектность и ESD-защиту упаковки проверяют осмотром; критерии — 7.1–7.3. Срок и условия хранения подтверждают анализом документации и, при необходимости, испытанием по ГОСТ 15150; конкретная категория условий хранения и метод подтверждения — [уточнить].</w:t>
      </w:r>
    </w:p>
    <w:p>
      <w:pPr>
        <w:spacing w:before="240" w:after="120" w:line="276" w:lineRule="auto"/>
        <w:jc w:val="both"/>
        <w:keepNext/>
      </w:pPr>
      <w:r>
        <w:rPr>
          <w:rFonts w:ascii="Times New Roman" w:hAnsi="Times New Roman" w:cs="Times New Roman"/>
          <w:sz w:val="28"/>
          <w:szCs w:val="28"/>
          <w:b/>
        </w:rPr>
        <w:t xml:space="preserve">8 Специальные требования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8.1 Телеметрия РМО должна быть реализована на C++/Qt и содержать мнемосхему восьми портов.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8.2 РМО должно отображать по портам LOS, LOF, AIS, RAI, счётчики G.826, выбранный профиль SAToP/CESoPSN и источник тактирования.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8.3 РМО должно обеспечивать команды включения и отключения портов, изменения джиттер-буфера, включения диагностических петель и PRBS.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8.4 Телеметрию проверяют поочерёдным созданием состояний и переключением профилей и источников тактирования. Критерий — мнемосхема восьми портов отображает все данные по 8.2 для соответствующего порта.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8.5 Команды проверяют их поочерёдной выдачей из РМО и наблюдением состояния портов, значений джиттер-буфера, диагностических петель и PRBS. Критерий — выполнение каждой команды; права доступа, протокол обмена и реакция на недопустимые команды — [уточнить].</w:t>
      </w:r>
    </w:p>
    <w:p>
      <w:r>
        <w:br w:type="page"/>
      </w:r>
    </w:p>
    <w:p>
      <w:pPr>
        <w:spacing w:before="240" w:after="160" w:line="276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РАЗРАБОТАНО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Организация-разработчик ТЗ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Должность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ФИО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Подпись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Дата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ООО «тушканчик»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spacing w:before="240" w:after="160" w:line="276" w:lineRule="auto"/>
        <w:jc w:val="both"/>
      </w:pPr>
      <w:r>
        <w:rPr>
          <w:rFonts w:ascii="Times New Roman" w:hAnsi="Times New Roman" w:cs="Times New Roman"/>
          <w:sz w:val="28"/>
          <w:szCs w:val="28"/>
          <w:b/>
        </w:rPr>
        <w:t xml:space="preserve">СОГЛАСОВАНО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  <w:gridCol w:w="3000"/>
        <w:gridCol w:w="3000"/>
      </w:tblGrid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Организация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Должность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ФИО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Подпись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Дата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Головной исполнитель ОКР: 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  <w:tr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Другие согласующие организации: 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__________</w:t>
            </w:r>
          </w:p>
        </w:tc>
        <w:tc>
          <w:tcPr>
            <w:tcW w:w="0" w:type="auto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8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[уточнить]</w:t>
            </w:r>
          </w:p>
        </w:tc>
      </w:tr>
    </w:tbl>
    <w:sectPr>
      <w:headerReference w:type="default" r:id="rId2"/>
      <w:pgSz w:w="11906" w:h="16838"/>
      <w:pgMar w:top="1134" w:right="850" w:bottom="1134" w:left="1417" w:header="400" w:footer="40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Техническое задание. AMC E1</dc:title>
  <dc:creator>ООО «тушканчик»</dc:creator>
  <dc:language>ru-RU</dc:language>
</cp:coreProperties>
</file>