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r="http://schemas.openxmlformats.org/officeDocument/2006/relationships">
  <ns0:body>
    <ns0:tbl>
      <ns0:tblPr>
        <ns0:tblW ns0:w="0" ns0:type="auto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СОГЛАСОВАНО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СОГЛАСОВАНО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УТВЕРЖДАЮ</ns0:t>
            </ns0:r>
          </ns0:p>
        </ns0:tc>
      </ns0:tr>
      <ns0:tr>
        <ns0:tc>
          <ns0:tcPr/>
          <ns0:p>
            <ns0:pPr/>
            <ns0:r>
              <ns0:t xml:space="preserve">Заказчик либо НИО заказчика[уточнить]________________ / [уточнить] /«___» __________ 20__ г.</ns0:t>
            </ns0:r>
          </ns0:p>
        </ns0:tc>
        <ns0:tc>
          <ns0:tcPr/>
          <ns0:p>
            <ns0:pPr/>
            <ns0:r>
              <ns0:t xml:space="preserve">Исполнитель составной части ОКРООО «тушканчик»________________ / [уточнить] /«___» __________ 20__ г.</ns0:t>
            </ns0:r>
          </ns0:p>
        </ns0:tc>
        <ns0:tc>
          <ns0:tcPr/>
          <ns0:p>
            <ns0:pPr/>
            <ns0:r>
              <ns0:t xml:space="preserve">Головной исполнитель ОКР[уточнить]________________ / [уточнить] /«___» __________ 20__ г.</ns0:t>
            </ns0:r>
          </ns0:p>
        </ns0:tc>
      </ns0:tr>
    </ns0:tbl>
    <ns0:p>
      <ns0:pPr>
        <ns0:jc ns0:val="right"/>
      </ns0:pPr>
      <ns0:r>
        <ns0:t xml:space="preserve">Регистрационный № [уточнить]</ns0:t>
      </ns0:r>
    </ns0:p>
    <ns0:p>
      <ns0:pPr>
        <ns0:pStyle ns0:val="Heading1"/>
      </ns0:pPr>
      <ns0:r>
        <ns0:t xml:space="preserve">ТЕХНИЧЕСКОЕ ЗАДАНИЕ</ns0:t>
      </ns0:r>
    </ns0:p>
    <ns0:p>
      <ns0:pPr>
        <ns0:jc ns0:val="center"/>
      </ns0:pPr>
      <ns0:r>
        <ns0:t xml:space="preserve">на выполнение составной части опытно-конструкторской работы</ns0:t>
      </ns0:r>
    </ns0:p>
    <ns0:p>
      <ns0:pPr>
        <ns0:jc ns0:val="center"/>
      </ns0:pPr>
      <ns0:r>
        <ns0:t xml:space="preserve">«Развитие-ТСА»</ns0:t>
      </ns0:r>
    </ns0:p>
    <ns0:p>
      <ns0:pPr>
        <ns0:jc ns0:val="center"/>
      </ns0:pPr>
      <ns0:r>
        <ns0:t xml:space="preserve">Разработка сменной интерфейсной субплаты 8×E1 и функционального модуля E1для универсального базового модуля AMC семейства ДММП</ns0:t>
      </ns0:r>
    </ns0:p>
    <ns0:p>
      <ns0:pPr>
        <ns0:jc ns0:val="center"/>
      </ns0:pPr>
      <ns0:r>
        <ns0:t xml:space="preserve">Обозначение изделия: [уточнить]</ns0:t>
      </ns0:r>
    </ns0:p>
    <ns0:p>
      <ns0:pPr>
        <ns0:jc ns0:val="center"/>
      </ns0:pPr>
      <ns0:r>
        <ns0:t xml:space="preserve">Исполнитель СЧ ОКР: ООО «тушканчик»</ns0:t>
      </ns0:r>
    </ns0:p>
    <ns0:p>
      <ns0:pPr>
        <ns0:jc ns0:val="center"/>
      </ns0:pPr>
      <ns0:r>
        <ns0:t xml:space="preserve">Место составления: [уточнить]</ns0:t>
      </ns0:r>
    </ns0:p>
    <ns0:p>
      <ns0:pPr>
        <ns0:jc ns0:val="center"/>
      </ns0:pPr>
      <ns0:r>
        <ns0:t xml:space="preserve">20__ г.</ns0:t>
      </ns0:r>
    </ns0:p>
    <ns0:p>
      <ns0:pPr>
        <ns0:pageBreakBefore/>
      </ns0:pPr>
    </ns0:p>
    <ns0:p>
      <ns0:pPr>
        <ns0:pStyle ns0:val="Heading1"/>
      </ns0:pPr>
      <ns0:r>
        <ns0:t xml:space="preserve">ЛИСТ СОГЛАСОВАНИЯ</ns0:t>
      </ns0:r>
    </ns0:p>
    <ns0:p>
      <ns0:pPr/>
      <ns0:r>
        <ns0:t xml:space="preserve">Техническое задание на выполнение составной части опытно-конструкторской работы «Развитие-ТСА»: разработка сменной интерфейсной субплаты 8×E1 и функционального модуля E1 для универсального базового модуля AMC семейства ДММП.</ns0:t>
      </ns0:r>
    </ns0:p>
    <ns0:tbl>
      <ns0:tblPr>
        <ns0:tblW ns0:w="0" ns0:type="auto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Организация / подразделение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Должность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Ф. И. О.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Подпись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Дата</ns0:t>
            </ns0:r>
          </ns0:p>
        </ns0:tc>
      </ns0:tr>
      <ns0:tr>
        <ns0:tc>
          <ns0:tcPr/>
          <ns0:p>
            <ns0:pPr/>
            <ns0:r>
              <ns0:t xml:space="preserve">Заказчик либо НИО заказчика [уточнить]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</ns0:tr>
      <ns0:tr>
        <ns0:tc>
          <ns0:tcPr/>
          <ns0:p>
            <ns0:pPr/>
            <ns0:r>
              <ns0:t xml:space="preserve">Головной исполнитель ОКР [уточнить]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</ns0:tr>
      <ns0:tr>
        <ns0:tc>
          <ns0:tcPr/>
          <ns0:p>
            <ns0:pPr/>
            <ns0:r>
              <ns0:t xml:space="preserve">ООО «тушканчик»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</ns0:tr>
      <ns0:tr>
        <ns0:tc>
          <ns0:tcPr/>
          <ns0:p>
            <ns0:pPr/>
            <ns0:r>
              <ns0:t xml:space="preserve">Иная согласующая организация (при наличии) [уточнить]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</ns0:tr>
    </ns0:tbl>
    <ns0:p>
      <ns0:pPr/>
      <ns0:r>
        <ns0:t xml:space="preserve">Примечание — Состав согласующих организаций и должностных лиц не задан. Лист оформлен для последующего согласования.</ns0:t>
      </ns0:r>
    </ns0:p>
    <ns0:p>
      <ns0:pPr>
        <ns0:pageBreakBefore/>
      </ns0:pPr>
    </ns0:p>
    <ns0:p>
      <ns0:pPr>
        <ns0:pStyle ns0:val="Heading1"/>
      </ns0:pPr>
      <ns0:r>
        <ns0:t xml:space="preserve">ПЕРЕЧЕНЬ ОБОЗНАЧЕНИЙ И СОКРАЩЕНИЙ</ns0:t>
      </ns0:r>
    </ns0:p>
    <ns0:tbl>
      <ns0:tblPr>
        <ns0:tblW ns0:w="0" ns0:type="auto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Сокращение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Значение</ns0:t>
            </ns0:r>
          </ns0:p>
        </ns0:tc>
      </ns0:tr>
      <ns0:tr>
        <ns0:tc>
          <ns0:tcPr/>
          <ns0:p>
            <ns0:pPr/>
            <ns0:r>
              <ns0:t xml:space="preserve">ACR</ns0:t>
            </ns0:r>
          </ns0:p>
        </ns0:tc>
        <ns0:tc>
          <ns0:tcPr/>
          <ns0:p>
            <ns0:pPr/>
            <ns0:r>
              <ns0:t xml:space="preserve">восстановление тактовой частоты от пакетной сети.</ns0:t>
            </ns0:r>
          </ns0:p>
        </ns0:tc>
      </ns0:tr>
      <ns0:tr>
        <ns0:tc>
          <ns0:tcPr/>
          <ns0:p>
            <ns0:pPr/>
            <ns0:r>
              <ns0:t xml:space="preserve">AIS</ns0:t>
            </ns0:r>
          </ns0:p>
        </ns0:tc>
        <ns0:tc>
          <ns0:tcPr/>
          <ns0:p>
            <ns0:pPr/>
            <ns0:r>
              <ns0:t xml:space="preserve">Alarm Indication Signal; сигнал индикации аварии («все единицы»).</ns0:t>
            </ns0:r>
          </ns0:p>
        </ns0:tc>
      </ns0:tr>
      <ns0:tr>
        <ns0:tc>
          <ns0:tcPr/>
          <ns0:p>
            <ns0:pPr/>
            <ns0:r>
              <ns0:t xml:space="preserve">AMI</ns0:t>
            </ns0:r>
          </ns0:p>
        </ns0:tc>
        <ns0:tc>
          <ns0:tcPr/>
          <ns0:p>
            <ns0:pPr/>
            <ns0:r>
              <ns0:t xml:space="preserve">альтернативная инверсия знака.</ns0:t>
            </ns0:r>
          </ns0:p>
        </ns0:tc>
      </ns0:tr>
      <ns0:tr>
        <ns0:tc>
          <ns0:tcPr/>
          <ns0:p>
            <ns0:pPr/>
            <ns0:r>
              <ns0:t xml:space="preserve">AMC</ns0:t>
            </ns0:r>
          </ns0:p>
        </ns0:tc>
        <ns0:tc>
          <ns0:tcPr/>
          <ns0:p>
            <ns0:pPr/>
            <ns0:r>
              <ns0:t xml:space="preserve">AMC; форм-фактор базовой платы. Полное англоязычное наименование в исходных данных не задано.</ns0:t>
            </ns0:r>
          </ns0:p>
        </ns0:tc>
      </ns0:tr>
      <ns0:tr>
        <ns0:tc>
          <ns0:tcPr/>
          <ns0:p>
            <ns0:pPr/>
            <ns0:r>
              <ns0:t xml:space="preserve">B2B</ns0:t>
            </ns0:r>
          </ns0:p>
        </ns0:tc>
        <ns0:tc>
          <ns0:tcPr/>
          <ns0:p>
            <ns0:pPr/>
            <ns0:r>
              <ns0:t xml:space="preserve">межплатное соединение субплаты и базовой платы.</ns0:t>
            </ns0:r>
          </ns0:p>
        </ns0:tc>
      </ns0:tr>
      <ns0:tr>
        <ns0:tc>
          <ns0:tcPr/>
          <ns0:p>
            <ns0:pPr/>
            <ns0:r>
              <ns0:t xml:space="preserve">BER</ns0:t>
            </ns0:r>
          </ns0:p>
        </ns0:tc>
        <ns0:tc>
          <ns0:tcPr/>
          <ns0:p>
            <ns0:pPr/>
            <ns0:r>
              <ns0:t xml:space="preserve">коэффициент битовых ошибок.</ns0:t>
            </ns0:r>
          </ns0:p>
        </ns0:tc>
      </ns0:tr>
      <ns0:tr>
        <ns0:tc>
          <ns0:tcPr/>
          <ns0:p>
            <ns0:pPr/>
            <ns0:r>
              <ns0:t xml:space="preserve">Board ID</ns0:t>
            </ns0:r>
          </ns0:p>
        </ns0:tc>
        <ns0:tc>
          <ns0:tcPr/>
          <ns0:p>
            <ns0:pPr/>
            <ns0:r>
              <ns0:t xml:space="preserve">идентификатор платы, по которому базовая плата выбирает bitstream E1 из Flash.</ns0:t>
            </ns0:r>
          </ns0:p>
        </ns0:tc>
      </ns0:tr>
      <ns0:tr>
        <ns0:tc>
          <ns0:tcPr/>
          <ns0:p>
            <ns0:pPr/>
            <ns0:r>
              <ns0:t xml:space="preserve">CAS / CCS</ns0:t>
            </ns0:r>
          </ns0:p>
        </ns0:tc>
        <ns0:tc>
          <ns0:tcPr/>
          <ns0:p>
            <ns0:pPr/>
            <ns0:r>
              <ns0:t xml:space="preserve">канальная сигнализация (в данном ТЗ — в TS16) / общеканальная сигнализация.</ns0:t>
            </ns0:r>
          </ns0:p>
        </ns0:tc>
      </ns0:tr>
      <ns0:tr>
        <ns0:tc>
          <ns0:tcPr/>
          <ns0:p>
            <ns0:pPr/>
            <ns0:r>
              <ns0:t xml:space="preserve">CRC-4</ns0:t>
            </ns0:r>
          </ns0:p>
        </ns0:tc>
        <ns0:tc>
          <ns0:tcPr/>
          <ns0:p>
            <ns0:pPr/>
            <ns0:r>
              <ns0:t xml:space="preserve">циклический контроль с избыточностью 4; используется в кадровом режиме G.704.</ns0:t>
            </ns0:r>
          </ns0:p>
        </ns0:tc>
      </ns0:tr>
      <ns0:tr>
        <ns0:tc>
          <ns0:tcPr/>
          <ns0:p>
            <ns0:pPr/>
            <ns0:r>
              <ns0:t xml:space="preserve">E1</ns0:t>
            </ns0:r>
          </ns0:p>
        </ns0:tc>
        <ns0:tc>
          <ns0:tcPr/>
          <ns0:p>
            <ns0:pPr/>
            <ns0:r>
              <ns0:t xml:space="preserve">цифровая линия 2048 кбит/с.</ns0:t>
            </ns0:r>
          </ns0:p>
        </ns0:tc>
      </ns0:tr>
      <ns0:tr>
        <ns0:tc>
          <ns0:tcPr/>
          <ns0:p>
            <ns0:pPr/>
            <ns0:r>
              <ns0:t xml:space="preserve">EEPROM</ns0:t>
            </ns0:r>
          </ns0:p>
        </ns0:tc>
        <ns0:tc>
          <ns0:tcPr/>
          <ns0:p>
            <ns0:pPr/>
            <ns0:r>
              <ns0:t xml:space="preserve">энергонезависимая память для Board ID.</ns0:t>
            </ns0:r>
          </ns0:p>
        </ns0:tc>
      </ns0:tr>
      <ns0:tr>
        <ns0:tc>
          <ns0:tcPr/>
          <ns0:p>
            <ns0:pPr/>
            <ns0:r>
              <ns0:t xml:space="preserve">ES / SES / UAS</ns0:t>
            </ns0:r>
          </ns0:p>
        </ns0:tc>
        <ns0:tc>
          <ns0:tcPr/>
          <ns0:p>
            <ns0:pPr/>
            <ns0:r>
              <ns0:t xml:space="preserve">показатели статистики ошибок G.826.</ns0:t>
            </ns0:r>
          </ns0:p>
        </ns0:tc>
      </ns0:tr>
      <ns0:tr>
        <ns0:tc>
          <ns0:tcPr/>
          <ns0:p>
            <ns0:pPr/>
            <ns0:r>
              <ns0:t xml:space="preserve">ESD</ns0:t>
            </ns0:r>
          </ns0:p>
        </ns0:tc>
        <ns0:tc>
          <ns0:tcPr/>
          <ns0:p>
            <ns0:pPr/>
            <ns0:r>
              <ns0:t xml:space="preserve">электростатический разряд.</ns0:t>
            </ns0:r>
          </ns0:p>
        </ns0:tc>
      </ns0:tr>
      <ns0:tr>
        <ns0:tc>
          <ns0:tcPr/>
          <ns0:p>
            <ns0:pPr/>
            <ns0:r>
              <ns0:t xml:space="preserve">HDB3</ns0:t>
            </ns0:r>
          </ns0:p>
        </ns0:tc>
        <ns0:tc>
          <ns0:tcPr/>
          <ns0:p>
            <ns0:pPr/>
            <ns0:r>
              <ns0:t xml:space="preserve">код HDB3.</ns0:t>
            </ns0:r>
          </ns0:p>
        </ns0:tc>
      </ns0:tr>
      <ns0:tr>
        <ns0:tc>
          <ns0:tcPr/>
          <ns0:p>
            <ns0:pPr/>
            <ns0:r>
              <ns0:t xml:space="preserve">LIU</ns0:t>
            </ns0:r>
          </ns0:p>
        </ns0:tc>
        <ns0:tc>
          <ns0:tcPr/>
          <ns0:p>
            <ns0:pPr/>
            <ns0:r>
              <ns0:t xml:space="preserve">восьмиканальное устройство линейного интерфейса.</ns0:t>
            </ns0:r>
          </ns0:p>
        </ns0:tc>
      </ns0:tr>
      <ns0:tr>
        <ns0:tc>
          <ns0:tcPr/>
          <ns0:p>
            <ns0:pPr/>
            <ns0:r>
              <ns0:t xml:space="preserve">LOF / LOS</ns0:t>
            </ns0:r>
          </ns0:p>
        </ns0:tc>
        <ns0:tc>
          <ns0:tcPr/>
          <ns0:p>
            <ns0:pPr/>
            <ns0:r>
              <ns0:t xml:space="preserve">потеря кадровой синхронизации / потеря сигнала.</ns0:t>
            </ns0:r>
          </ns0:p>
        </ns0:tc>
      </ns0:tr>
      <ns0:tr>
        <ns0:tc>
          <ns0:tcPr/>
          <ns0:p>
            <ns0:pPr/>
            <ns0:r>
              <ns0:t xml:space="preserve">MMC</ns0:t>
            </ns0:r>
          </ns0:p>
        </ns0:tc>
        <ns0:tc>
          <ns0:tcPr/>
          <ns0:p>
            <ns0:pPr/>
            <ns0:r>
              <ns0:t xml:space="preserve">MMC; интерфейс, предоставляемый базовой платой. Расшифровка в исходных данных не задана.</ns0:t>
            </ns0:r>
          </ns0:p>
        </ns0:tc>
      </ns0:tr>
      <ns0:tr>
        <ns0:tc>
          <ns0:tcPr/>
          <ns0:p>
            <ns0:pPr/>
            <ns0:r>
              <ns0:t xml:space="preserve">MTBF</ns0:t>
            </ns0:r>
          </ns0:p>
        </ns0:tc>
        <ns0:tc>
          <ns0:tcPr/>
          <ns0:p>
            <ns0:pPr/>
            <ns0:r>
              <ns0:t xml:space="preserve">средняя наработка на отказ.</ns0:t>
            </ns0:r>
          </ns0:p>
        </ns0:tc>
      </ns0:tr>
      <ns0:tr>
        <ns0:tc>
          <ns0:tcPr/>
          <ns0:p>
            <ns0:pPr/>
            <ns0:r>
              <ns0:t xml:space="preserve">ОКР</ns0:t>
            </ns0:r>
          </ns0:p>
        </ns0:tc>
        <ns0:tc>
          <ns0:tcPr/>
          <ns0:p>
            <ns0:pPr/>
            <ns0:r>
              <ns0:t xml:space="preserve">опытно-конструкторская работа.</ns0:t>
            </ns0:r>
          </ns0:p>
        </ns0:tc>
      </ns0:tr>
      <ns0:tr>
        <ns0:tc>
          <ns0:tcPr/>
          <ns0:p>
            <ns0:pPr/>
            <ns0:r>
              <ns0:t xml:space="preserve">ПЛИС</ns0:t>
            </ns0:r>
          </ns0:p>
        </ns0:tc>
        <ns0:tc>
          <ns0:tcPr/>
          <ns0:p>
            <ns0:pPr/>
            <ns0:r>
              <ns0:t xml:space="preserve">программируемая логическая интегральная схема.</ns0:t>
            </ns0:r>
          </ns0:p>
        </ns0:tc>
      </ns0:tr>
      <ns0:tr>
        <ns0:tc>
          <ns0:tcPr/>
          <ns0:p>
            <ns0:pPr/>
            <ns0:r>
              <ns0:t xml:space="preserve">ПМИ</ns0:t>
            </ns0:r>
          </ns0:p>
        </ns0:tc>
        <ns0:tc>
          <ns0:tcPr/>
          <ns0:p>
            <ns0:pPr/>
            <ns0:r>
              <ns0:t xml:space="preserve">программа и методика испытаний.</ns0:t>
            </ns0:r>
          </ns0:p>
        </ns0:tc>
      </ns0:tr>
      <ns0:tr>
        <ns0:tc>
          <ns0:tcPr/>
          <ns0:p>
            <ns0:pPr/>
            <ns0:r>
              <ns0:t xml:space="preserve">PDH / SDH / TDM</ns0:t>
            </ns0:r>
          </ns0:p>
        </ns0:tc>
        <ns0:tc>
          <ns0:tcPr/>
          <ns0:p>
            <ns0:pPr/>
            <ns0:r>
              <ns0:t xml:space="preserve">плезиохронная цифровая иерархия / синхронная цифровая иерархия / мультиплексирование с разделением по времени.</ns0:t>
            </ns0:r>
          </ns0:p>
        </ns0:tc>
      </ns0:tr>
      <ns0:tr>
        <ns0:tc>
          <ns0:tcPr/>
          <ns0:p>
            <ns0:pPr/>
            <ns0:r>
              <ns0:t xml:space="preserve">PDV</ns0:t>
            </ns0:r>
          </ns0:p>
        </ns0:tc>
        <ns0:tc>
          <ns0:tcPr/>
          <ns0:p>
            <ns0:pPr/>
            <ns0:r>
              <ns0:t xml:space="preserve">вариация задержки пакетов.</ns0:t>
            </ns0:r>
          </ns0:p>
        </ns0:tc>
      </ns0:tr>
      <ns0:tr>
        <ns0:tc>
          <ns0:tcPr/>
          <ns0:p>
            <ns0:pPr/>
            <ns0:r>
              <ns0:t xml:space="preserve">PRBS</ns0:t>
            </ns0:r>
          </ns0:p>
        </ns0:tc>
        <ns0:tc>
          <ns0:tcPr/>
          <ns0:p>
            <ns0:pPr/>
            <ns0:r>
              <ns0:t xml:space="preserve">псевдослучайная битовая последовательность.</ns0:t>
            </ns0:r>
          </ns0:p>
        </ns0:tc>
      </ns0:tr>
      <ns0:tr>
        <ns0:tc>
          <ns0:tcPr/>
          <ns0:p>
            <ns0:pPr/>
            <ns0:r>
              <ns0:t xml:space="preserve">РАИ</ns0:t>
            </ns0:r>
          </ns0:p>
        </ns0:tc>
        <ns0:tc>
          <ns0:tcPr/>
          <ns0:p>
            <ns0:pPr/>
            <ns0:r>
              <ns0:t xml:space="preserve">дистанционная индикация аварии.</ns0:t>
            </ns0:r>
          </ns0:p>
        </ns0:tc>
      </ns0:tr>
      <ns0:tr>
        <ns0:tc>
          <ns0:tcPr/>
          <ns0:p>
            <ns0:pPr/>
            <ns0:r>
              <ns0:t xml:space="preserve">РКД</ns0:t>
            </ns0:r>
          </ns0:p>
        </ns0:tc>
        <ns0:tc>
          <ns0:tcPr/>
          <ns0:p>
            <ns0:pPr/>
            <ns0:r>
              <ns0:t xml:space="preserve">рабочая конструкторская документация.</ns0:t>
            </ns0:r>
          </ns0:p>
        </ns0:tc>
      </ns0:tr>
      <ns0:tr>
        <ns0:tc>
          <ns0:tcPr/>
          <ns0:p>
            <ns0:pPr/>
            <ns0:r>
              <ns0:t xml:space="preserve">РМО</ns0:t>
            </ns0:r>
          </ns0:p>
        </ns0:tc>
        <ns0:tc>
          <ns0:tcPr/>
          <ns0:p>
            <ns0:pPr/>
            <ns0:r>
              <ns0:t xml:space="preserve">РМО; полное наименование не задано. Средство, получающее сообщения, отчёты, MIB и телеметрию.</ns0:t>
            </ns0:r>
          </ns0:p>
        </ns0:tc>
      </ns0:tr>
      <ns0:tr>
        <ns0:tc>
          <ns0:tcPr/>
          <ns0:p>
            <ns0:pPr/>
            <ns0:r>
              <ns0:t xml:space="preserve">RMS</ns0:t>
            </ns0:r>
          </ns0:p>
        </ns0:tc>
        <ns0:tc>
          <ns0:tcPr/>
          <ns0:p>
            <ns0:pPr/>
            <ns0:r>
              <ns0:t xml:space="preserve">среднеквадратическое значение.</ns0:t>
            </ns0:r>
          </ns0:p>
        </ns0:tc>
      </ns0:tr>
      <ns0:tr>
        <ns0:tc>
          <ns0:tcPr/>
          <ns0:p>
            <ns0:pPr/>
            <ns0:r>
              <ns0:t xml:space="preserve">SAToP / CESoPSN</ns0:t>
            </ns0:r>
          </ns0:p>
        </ns0:tc>
        <ns0:tc>
          <ns0:tcPr/>
          <ns0:p>
            <ns0:pPr/>
            <ns0:r>
              <ns0:t xml:space="preserve">профили передачи неструктурированного / структурированного потока по пакетной сети.</ns0:t>
            </ns0:r>
          </ns0:p>
        </ns0:tc>
      </ns0:tr>
      <ns0:tr>
        <ns0:tc>
          <ns0:tcPr/>
          <ns0:p>
            <ns0:pPr/>
            <ns0:r>
              <ns0:t xml:space="preserve">SNMP</ns0:t>
            </ns0:r>
          </ns0:p>
        </ns0:tc>
        <ns0:tc>
          <ns0:tcPr/>
          <ns0:p>
            <ns0:pPr/>
            <ns0:r>
              <ns0:t xml:space="preserve">протокол управления сетью.</ns0:t>
            </ns0:r>
          </ns0:p>
        </ns0:tc>
      </ns0:tr>
      <ns0:tr>
        <ns0:tc>
          <ns0:tcPr/>
          <ns0:p>
            <ns0:pPr/>
            <ns0:r>
              <ns0:t xml:space="preserve">TCLK</ns0:t>
            </ns0:r>
          </ns0:p>
        </ns0:tc>
        <ns0:tc>
          <ns0:tcPr/>
          <ns0:p>
            <ns0:pPr/>
            <ns0:r>
              <ns0:t xml:space="preserve">системная тактовая частота.</ns0:t>
            </ns0:r>
          </ns0:p>
        </ns0:tc>
      </ns0:tr>
      <ns0:tr>
        <ns0:tc>
          <ns0:tcPr/>
          <ns0:p>
            <ns0:pPr/>
            <ns0:r>
              <ns0:t xml:space="preserve">TS</ns0:t>
            </ns0:r>
          </ns0:p>
        </ns0:tc>
        <ns0:tc>
          <ns0:tcPr/>
          <ns0:p>
            <ns0:pPr/>
            <ns0:r>
              <ns0:t xml:space="preserve">временной интервал.</ns0:t>
            </ns0:r>
          </ns0:p>
        </ns0:tc>
      </ns0:tr>
    </ns0:tbl>
    <ns0:p>
      <ns0:pPr>
        <ns0:pageBreakBefore/>
      </ns0:pPr>
    </ns0:p>
    <ns0:p>
      <ns0:pPr>
        <ns0:pStyle ns0:val="Heading1"/>
      </ns0:pPr>
      <ns0:r>
        <ns0:t xml:space="preserve">ПЕРЕЧЕНЬ ПРИМЕНИМЫХ НОРМАТИВНЫХ И СПРАВОЧНЫХ ДОКУМЕНТОВ</ns0:t>
      </ns0:r>
    </ns0:p>
    <ns0:tbl>
      <ns0:tblPr>
        <ns0:tblW ns0:w="0" ns0:type="auto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Обозначение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Применение</ns0:t>
            </ns0:r>
          </ns0:p>
        </ns0:tc>
      </ns0:tr>
      <ns0:tr>
        <ns0:tc>
          <ns0:tcPr/>
          <ns0:p>
            <ns0:pPr/>
            <ns0:r>
              <ns0:t xml:space="preserve">ГОСТ 15.016—2016</ns0:t>
            </ns0:r>
          </ns0:p>
        </ns0:tc>
        <ns0:tc>
          <ns0:tcPr/>
          <ns0:p>
            <ns0:pPr/>
            <ns0:r>
              <ns0:t xml:space="preserve">Система разработки и постановки продукции на производство. Техническое задание. Требования к содержанию и оформлению.</ns0:t>
            </ns0:r>
          </ns0:p>
        </ns0:tc>
      </ns0:tr>
      <ns0:tr>
        <ns0:tc>
          <ns0:tcPr/>
          <ns0:p>
            <ns0:pPr/>
            <ns0:r>
              <ns0:t xml:space="preserve">ITU-T G.703; ITU-T G.704; ITU-T G.823; ITU-T G.826</ns0:t>
            </ns0:r>
          </ns0:p>
        </ns0:tc>
        <ns0:tc>
          <ns0:tcPr/>
          <ns0:p>
            <ns0:pPr/>
            <ns0:r>
              <ns0:t xml:space="preserve">Интерфейс E1, кадровый режим, джиттер/вандер и статистика ошибок.</ns0:t>
            </ns0:r>
          </ns0:p>
        </ns0:tc>
      </ns0:tr>
      <ns0:tr>
        <ns0:tc>
          <ns0:tcPr/>
          <ns0:p>
            <ns0:pPr/>
            <ns0:r>
              <ns0:t xml:space="preserve">RFC 4553 (SAToP); RFC 5086 (CESoPSN)</ns0:t>
            </ns0:r>
          </ns0:p>
        </ns0:tc>
        <ns0:tc>
          <ns0:tcPr/>
          <ns0:p>
            <ns0:pPr/>
            <ns0:r>
              <ns0:t xml:space="preserve">Заданные профили передачи TDM через Ethernet.</ns0:t>
            </ns0:r>
          </ns0:p>
        </ns0:tc>
      </ns0:tr>
      <ns0:tr>
        <ns0:tc>
          <ns0:tcPr/>
          <ns0:p>
            <ns0:pPr/>
            <ns0:r>
              <ns0:t xml:space="preserve">PICMG AMC.0 R2.0</ns0:t>
            </ns0:r>
          </ns0:p>
        </ns0:tc>
        <ns0:tc>
          <ns0:tcPr/>
          <ns0:p>
            <ns0:pPr/>
            <ns0:r>
              <ns0:t xml:space="preserve">Форм-фактор AMC.0.</ns0:t>
            </ns0:r>
          </ns0:p>
        </ns0:tc>
      </ns0:tr>
      <ns0:tr>
        <ns0:tc>
          <ns0:tcPr/>
          <ns0:p>
            <ns0:pPr/>
            <ns0:r>
              <ns0:t xml:space="preserve">ГОСТ РВ 20.39.304-98; ГОСТ В 25803-91</ns0:t>
            </ns0:r>
          </ns0:p>
        </ns0:tc>
        <ns0:tc>
          <ns0:tcPr/>
          <ns0:p>
            <ns0:pPr/>
            <ns0:r>
              <ns0:t xml:space="preserve">Заданная стойкость и радиопомехи.</ns0:t>
            </ns0:r>
          </ns0:p>
        </ns0:tc>
      </ns0:tr>
      <ns0:tr>
        <ns0:tc>
          <ns0:tcPr/>
          <ns0:p>
            <ns0:pPr/>
            <ns0:r>
              <ns0:t xml:space="preserve">ГОСТ 2.114-2016; ГОСТ РВ 15.201-2003</ns0:t>
            </ns0:r>
          </ns0:p>
        </ns0:tc>
        <ns0:tc>
          <ns0:tcPr/>
          <ns0:p>
            <ns0:pPr/>
            <ns0:r>
              <ns0:t xml:space="preserve">Применимые документы, указанные в исходных требованиях.</ns0:t>
            </ns0:r>
          </ns0:p>
        </ns0:tc>
      </ns0:tr>
      <ns0:tr>
        <ns0:tc>
          <ns0:tcPr/>
          <ns0:p>
            <ns0:pPr/>
            <ns0:r>
              <ns0:t xml:space="preserve">ГОСТ 15150</ns0:t>
            </ns0:r>
          </ns0:p>
        </ns0:tc>
        <ns0:tc>
          <ns0:tcPr/>
          <ns0:p>
            <ns0:pPr/>
            <ns0:r>
              <ns0:t xml:space="preserve">Заданное хранение в заводской таре.</ns0:t>
            </ns0:r>
          </ns0:p>
        </ns0:tc>
      </ns0:tr>
    </ns0:tbl>
    <ns0:p>
      <ns0:pPr/>
      <ns0:r>
        <ns0:t xml:space="preserve">Примечание — Полные наименования документов, кроме ГОСТ 15.016—2016, в исходных данных не приведены; сохранены их обозначения.</ns0:t>
      </ns0:r>
    </ns0:p>
    <ns0:p>
      <ns0:pPr>
        <ns0:pageBreakBefore/>
      </ns0:pPr>
    </ns0:p>
    <ns0:p>
      <ns0:pPr>
        <ns0:pStyle ns0:val="Heading1"/>
      </ns0:pPr>
      <ns0:r>
        <ns0:t xml:space="preserve">1. Наименование, шифр, основание, исполнители и сроки ОКР</ns0:t>
      </ns0:r>
    </ns0:p>
    <ns0:p>
      <ns0:pPr/>
      <ns0:r>
        <ns0:t xml:space="preserve">1.1. Наименование составной части ОКР: разработка сменной интерфейсной субплаты 8×E1 и функционального модуля E1 для универсального базового модуля AMC семейства ДММП.</ns0:t>
      </ns0:r>
    </ns0:p>
    <ns0:p>
      <ns0:pPr/>
      <ns0:r>
        <ns0:t xml:space="preserve">1.2. Шифр ОКР: «Развитие-ТСА». Шифр СЧ ОКР соответствует шифру ОКР; дополнительный шифр не задан.</ns0:t>
      </ns0:r>
    </ns0:p>
    <ns0:p>
      <ns0:pPr/>
      <ns0:r>
        <ns0:t xml:space="preserve">1.3. Основание выполнения: приказ об открытии инициативной ОКР № [уточнить] от [уточнить].</ns0:t>
      </ns0:r>
    </ns0:p>
    <ns0:p>
      <ns0:pPr/>
      <ns0:r>
        <ns0:t xml:space="preserve">1.4. Исполнитель СЧ ОКР: ООО «тушканчик». Головной исполнитель ОКР и заказчик: [уточнить].</ns0:t>
      </ns0:r>
    </ns0:p>
    <ns0:p>
      <ns0:pPr/>
      <ns0:r>
        <ns0:t xml:space="preserve">1.5. Сроки выполнения СЧ ОКР должны быть увязаны с утверждённым планом-графиком разработки РКД, программной документации, изготовления образцов и испытаний. Даты начала, окончания и план-график: [уточнить].</ns0:t>
      </ns0:r>
    </ns0:p>
    <ns0:p>
      <ns0:pPr>
        <ns0:pStyle ns0:val="Heading1"/>
      </ns0:pPr>
      <ns0:r>
        <ns0:t xml:space="preserve">2. Цель выполнения, наименование, назначение и область применения изделия</ns0:t>
      </ns0:r>
    </ns0:p>
    <ns0:p>
      <ns0:pPr/>
      <ns0:r>
        <ns0:t xml:space="preserve">2.1. Целью выполнения СЧ ОКР является создание сменной интерфейсной субплаты 8×E1 и функционального модуля E1 для подключения восьми независимых линий E1 к платформе ДММП с передачей TDM через Ethernet, компенсацией сетевого джиттера и восстановлением частоты.</ns0:t>
      </ns0:r>
    </ns0:p>
    <ns0:p>
      <ns0:pPr/>
      <ns0:r>
        <ns0:t xml:space="preserve">2.2. Изделие устанавливается как Single Full-size AMC.0 на Carrier платформы ДММП. Обозначение изделия: [уточнить].</ns0:t>
      </ns0:r>
    </ns0:p>
    <ns0:p>
      <ns0:pPr/>
      <ns0:r>
        <ns0:t xml:space="preserve">2.3. Аппаратная часть включает субплату, интерфейсы E1, защиту, трансиверы, EEPROM и средства индикации портов.</ns0:t>
      </ns0:r>
    </ns0:p>
    <ns0:p>
      <ns0:pPr/>
      <ns0:r>
        <ns0:t xml:space="preserve">2.4. Логическая часть представляет собой функциональный модуль ПЛИС базовой платы, автоматически активируемый по Board ID.</ns0:t>
      </ns0:r>
    </ns0:p>
    <ns0:p>
      <ns0:pPr/>
      <ns0:r>
        <ns0:t xml:space="preserve">2.5. Область применения: TDM/SDH/PDH, телефонные станции, диспетчеризация и АСУ ТП энергетических и промышленных предприятий.</ns0:t>
      </ns0:r>
    </ns0:p>
    <ns0:p>
      <ns0:pPr>
        <ns0:pStyle ns0:val="Heading1"/>
      </ns0:pPr>
      <ns0:r>
        <ns0:t xml:space="preserve">3. Технические требования к изделию</ns0:t>
      </ns0:r>
    </ns0:p>
    <ns0:p>
      <ns0:pPr>
        <ns0:pStyle ns0:val="Heading2"/>
      </ns0:pPr>
      <ns0:r>
        <ns0:t xml:space="preserve">3.1. Архитектура и линии E1</ns0:t>
      </ns0:r>
    </ns0:p>
    <ns0:p>
      <ns0:pPr/>
      <ns0:r>
        <ns0:t xml:space="preserve">3.1.1. Субплата должна содержать восемь экранированных разъёмов RJ-48C (8P8C), защиту, импульсные трансформаторы, восьмиканальный LIU, EEPROM Board ID и индикацию портов.</ns0:t>
      </ns0:r>
    </ns0:p>
    <ns0:p>
      <ns0:pPr/>
      <ns0:r>
        <ns0:t xml:space="preserve">3.1.2. Числовой Board ID: [уточнить]. Через B2B базовая плата должна предоставлять +12 В, +3,3 В, MMC и тактирование, а также выбирать bitstream E1 из Flash по Board ID.</ns0:t>
      </ns0:r>
    </ns0:p>
    <ns0:p>
      <ns0:pPr/>
      <ns0:r>
        <ns0:t xml:space="preserve">3.1.3. Каждый порт E1 должен иметь симметричный двухпарный интерфейс 120 Ом, скорость 2048 кбит/с (2,048 Мбит/с) ±50 ppm, кодирование HDB3 или AMI и маску импульса по ITU-T G.703.</ns0:t>
      </ns0:r>
    </ns0:p>
    <ns0:p>
      <ns0:pPr/>
      <ns0:r>
        <ns0:t xml:space="preserve">3.1.4. Каждый порт E1 должен иметь трансформаторную изоляцию не менее 1500 В RMS, 50 Гц, в течение 1 мин, а также супрессорную защиту от перенапряжений и ESD.</ns0:t>
      </ns0:r>
    </ns0:p>
    <ns0:p>
      <ns0:pPr/>
      <ns0:r>
        <ns0:t xml:space="preserve">3.1.5. Короткое замыкание, обрыв либо перепутывание пар одного порта не должны влиять на другие порты и модуль.</ns0:t>
      </ns0:r>
    </ns0:p>
    <ns0:p>
      <ns0:pPr>
        <ns0:pStyle ns0:val="Heading2"/>
      </ns0:pPr>
      <ns0:r>
        <ns0:t xml:space="preserve">3.2. Обработка, тактирование и аварии</ns0:t>
      </ns0:r>
    </ns0:p>
    <ns0:p>
      <ns0:pPr/>
      <ns0:r>
        <ns0:t xml:space="preserve">3.2.1. Для каждого порта независимо должны поддерживаться одновременно следующие профили: профиль А — SAToP по RFC 4553, полный неструктурированный поток с настраиваемой полезной нагрузкой и минимальной аппаратной задержкой; профиль Б — CESoPSN по RFC 5086, N×64 кбит/с, TS1–TS31, G.704, CRC-4, CAS (TS16) и CCS.</ns0:t>
      </ns0:r>
    </ns0:p>
    <ns0:p>
      <ns0:pPr/>
      <ns0:r>
        <ns0:t xml:space="preserve">3.2.2. Fabric 10GbE должен обеспечивать Strict Priority QoS, передачу без потерь и минимальную задержку коммутации.</ns0:t>
      </ns0:r>
    </ns0:p>
    <ns0:p>
      <ns0:pPr/>
      <ns0:r>
        <ns0:t xml:space="preserve">3.2.3. Джиттер-буфер каждого канала должен иметь диапазон 1–64 мс для компенсации PDV.</ns0:t>
      </ns0:r>
    </ns0:p>
    <ns0:p>
      <ns0:pPr/>
      <ns0:r>
        <ns0:t xml:space="preserve">3.2.4. При потере пакетов или аварии сети устройство должно выдавать AIS («все единицы») с сохранением тактирования.</ns0:t>
      </ns0:r>
    </ns0:p>
    <ns0:p>
      <ns0:pPr/>
      <ns0:r>
        <ns0:t xml:space="preserve">3.2.5. Передатчик должен поддерживать режимы: системный TCLK, ACR от пакетной сети, Free-run/Holdover и Loop timing.</ns0:t>
      </ns0:r>
    </ns0:p>
    <ns0:p>
      <ns0:pPr/>
      <ns0:r>
        <ns0:t xml:space="preserve">3.2.6. Восстановленная частота 2,048 МГц любого выбранного входного порта должна передаваться через B2B как кандидат синхронизации шасси. Джиттер и вандер должны соответствовать ITU-T G.823.</ns0:t>
      </ns0:r>
    </ns0:p>
    <ns0:p>
      <ns0:pPr/>
      <ns0:r>
        <ns0:t xml:space="preserve">3.2.7. Должен выполняться непрерывный контроль LOS, LOF в кадровом режиме, AIS, RAI, CRC-4, нарушений HDB3 и Frame slips. Должна вестись статистика G.826: ES, SES, UAS.</ns0:t>
      </ns0:r>
    </ns0:p>
    <ns0:p>
      <ns0:pPr/>
      <ns0:r>
        <ns0:t xml:space="preserve">3.2.8. Для каждого порта должны быть предусмотрены Local Line Loopback, Payload Loopback и Packet Loopback, а также встроенные генератор и анализатор PRBS 215−1 и 223−1 для BER-тестов.</ns0:t>
      </ns0:r>
    </ns0:p>
    <ns0:p>
      <ns0:pPr>
        <ns0:pStyle ns0:val="Heading2"/>
      </ns0:pPr>
      <ns0:r>
        <ns0:t xml:space="preserve">3.3. Конструкция и эксплуатация</ns0:t>
      </ns0:r>
    </ns0:p>
    <ns0:p>
      <ns0:pPr/>
      <ns0:r>
        <ns0:t xml:space="preserve">3.3.1. Крепление должно быть выполнено к общему лонжерону-теплоотводу и лицевой панели. Разъёмы должны оставлять доступ к защёлкам, обзор светодиодов и вентиляцию.</ns0:t>
      </ns0:r>
    </ns0:p>
    <ns0:p>
      <ns0:pPr/>
      <ns0:r>
        <ns0:t xml:space="preserve">3.3.2. Потребляемая мощность при всех активных портах: субплата — не более 12 Вт; сборка — не более 35 Вт.</ns0:t>
      </ns0:r>
    </ns0:p>
    <ns0:p>
      <ns0:pPr/>
      <ns0:r>
        <ns0:t xml:space="preserve">3.3.3. Конструкция: Single Full-size AMC.0, 73,5 × 180,6 × 28,95 мм; межплатное крепление — на 4–6 металлических стойках М2,5.</ns0:t>
      </ns0:r>
    </ns0:p>
    <ns0:p>
      <ns0:pPr/>
      <ns0:r>
        <ns0:t xml:space="preserve">3.3.4. Стойкость должна соответствовать ГОСТ РВ 20.39.304-98: группы 1.1, 1.3, 1.4.1, исполнение «О»; рабочая температура — от −10 до +50 °C, предельная — от −40 до +65 °C; синусоидальная вибрация — 5g; удары — 15g. Радиопомехи — группа 1.1.1 по ГОСТ В 25803-91.</ns0:t>
      </ns0:r>
    </ns0:p>
    <ns0:p>
      <ns0:pPr/>
      <ns0:r>
        <ns0:t xml:space="preserve">3.3.5. MTBF должен быть не менее 15 000 ч. Назначенный срок службы должен быть не менее 20 лет.</ns0:t>
      </ns0:r>
    </ns0:p>
    <ns0:p>
      <ns0:pPr>
        <ns0:pStyle ns0:val="Heading2"/>
      </ns0:pPr>
      <ns0:r>
        <ns0:t xml:space="preserve">3.4. Проверка технических требований и безопасных режимов</ns0:t>
      </ns0:r>
    </ns0:p>
    <ns0:tbl>
      <ns0:tblPr>
        <ns0:tblW ns0:w="0" ns0:type="auto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Требования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Условие и воздействие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Наблюдаемый результат / критерий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Метод</ns0:t>
            </ns0:r>
          </ns0:p>
        </ns0:tc>
      </ns0:tr>
      <ns0:tr>
        <ns0:tc>
          <ns0:tcPr/>
          <ns0:p>
            <ns0:pPr/>
            <ns0:r>
              <ns0:t xml:space="preserve">3.1.1–3.1.2</ns0:t>
            </ns0:r>
          </ns0:p>
        </ns0:tc>
        <ns0:tc>
          <ns0:tcPr/>
          <ns0:p>
            <ns0:pPr/>
            <ns0:r>
              <ns0:t xml:space="preserve">Предъявление субплаты и базовой платы; считывание Board ID.</ns0:t>
            </ns0:r>
          </ns0:p>
        </ns0:tc>
        <ns0:tc>
          <ns0:tcPr/>
          <ns0:p>
            <ns0:pPr/>
            <ns0:r>
              <ns0:t xml:space="preserve">Наличие восьми RJ-48C, защиты, трансформаторов, LIU, EEPROM, индикации; по Board ID выбирается bitstream E1; через B2B доступны перечисленные питание, MMC и тактирование.</ns0:t>
            </ns0:r>
          </ns0:p>
        </ns0:tc>
        <ns0:tc>
          <ns0:tcPr/>
          <ns0:p>
            <ns0:pPr/>
            <ns0:r>
              <ns0:t xml:space="preserve">Осмотр, функциональная проверка.</ns0:t>
            </ns0:r>
          </ns0:p>
        </ns0:tc>
      </ns0:tr>
      <ns0:tr>
        <ns0:tc>
          <ns0:tcPr/>
          <ns0:p>
            <ns0:pPr/>
            <ns0:r>
              <ns0:t xml:space="preserve">3.1.3–3.1.4</ns0:t>
            </ns0:r>
          </ns0:p>
        </ns0:tc>
        <ns0:tc>
          <ns0:tcPr/>
          <ns0:p>
            <ns0:pPr/>
            <ns0:r>
              <ns0:t xml:space="preserve">Подача и приём E1 на каждом порту; проверка изоляции и защиты.</ns0:t>
            </ns0:r>
          </ns0:p>
        </ns0:tc>
        <ns0:tc>
          <ns0:tcPr/>
          <ns0:p>
            <ns0:pPr/>
            <ns0:r>
              <ns0:t xml:space="preserve">120 Ом, 2048 кбит/с ±50 ppm, HDB3 или AMI, маска G.703; изоляция не менее 1500 В RMS, 50 Гц, 1 мин; наличие защиты.</ns0:t>
            </ns0:r>
          </ns0:p>
        </ns0:tc>
        <ns0:tc>
          <ns0:tcPr/>
          <ns0:p>
            <ns0:pPr/>
            <ns0:r>
              <ns0:t xml:space="preserve">Измерение, испытание, осмотр. Погрешности измерений: [уточнить].</ns0:t>
            </ns0:r>
          </ns0:p>
        </ns0:tc>
      </ns0:tr>
      <ns0:tr>
        <ns0:tc>
          <ns0:tcPr/>
          <ns0:p>
            <ns0:pPr/>
            <ns0:r>
              <ns0:t xml:space="preserve">3.1.5</ns0:t>
            </ns0:r>
          </ns0:p>
        </ns0:tc>
        <ns0:tc>
          <ns0:tcPr/>
          <ns0:p>
            <ns0:pPr/>
            <ns0:r>
              <ns0:t xml:space="preserve">На одном порту моделируются КЗ, обрыв и перепутывание пар.</ns0:t>
            </ns0:r>
          </ns0:p>
        </ns0:tc>
        <ns0:tc>
          <ns0:tcPr/>
          <ns0:p>
            <ns0:pPr/>
            <ns0:r>
              <ns0:t xml:space="preserve">Другие порты и модуль сохраняют работоспособность; влияние отсутствует.</ns0:t>
            </ns0:r>
          </ns0:p>
        </ns0:tc>
        <ns0:tc>
          <ns0:tcPr/>
          <ns0:p>
            <ns0:pPr/>
            <ns0:r>
              <ns0:t xml:space="preserve">Испытание.</ns0:t>
            </ns0:r>
          </ns0:p>
        </ns0:tc>
      </ns0:tr>
      <ns0:tr>
        <ns0:tc>
          <ns0:tcPr/>
          <ns0:p>
            <ns0:pPr/>
            <ns0:r>
              <ns0:t xml:space="preserve">3.2.1–3.2.3</ns0:t>
            </ns0:r>
          </ns0:p>
        </ns0:tc>
        <ns0:tc>
          <ns0:tcPr/>
          <ns0:p>
            <ns0:pPr/>
            <ns0:r>
              <ns0:t xml:space="preserve">Работа каждого порта в SAToP и CESoPSN; изменение полезной нагрузки и буфера 1–64 мс.</ns0:t>
            </ns0:r>
          </ns0:p>
        </ns0:tc>
        <ns0:tc>
          <ns0:tcPr/>
          <ns0:p>
            <ns0:pPr/>
            <ns0:r>
              <ns0:t xml:space="preserve">Поддерживаются заданные профили, TS, CRC-4, CAS, CCS; выполняется компенсация PDV.</ns0:t>
            </ns0:r>
          </ns0:p>
        </ns0:tc>
        <ns0:tc>
          <ns0:tcPr/>
          <ns0:p>
            <ns0:pPr/>
            <ns0:r>
              <ns0:t xml:space="preserve">Функциональное испытание, анализ конфигурации.</ns0:t>
            </ns0:r>
          </ns0:p>
        </ns0:tc>
      </ns0:tr>
      <ns0:tr>
        <ns0:tc>
          <ns0:tcPr/>
          <ns0:p>
            <ns0:pPr/>
            <ns0:r>
              <ns0:t xml:space="preserve">3.2.2</ns0:t>
            </ns0:r>
          </ns0:p>
        </ns0:tc>
        <ns0:tc>
          <ns0:tcPr/>
          <ns0:p>
            <ns0:pPr/>
            <ns0:r>
              <ns0:t xml:space="preserve">Передача по Fabric 10GbE с Strict Priority QoS.</ns0:t>
            </ns0:r>
          </ns0:p>
        </ns0:tc>
        <ns0:tc>
          <ns0:tcPr/>
          <ns0:p>
            <ns0:pPr/>
            <ns0:r>
              <ns0:t xml:space="preserve">Передача без потерь и с минимальной задержкой коммутации. Числовой критерий задержки не задан.</ns0:t>
            </ns0:r>
          </ns0:p>
        </ns0:tc>
        <ns0:tc>
          <ns0:tcPr/>
          <ns0:p>
            <ns0:pPr/>
            <ns0:r>
              <ns0:t xml:space="preserve">Испытание; критерий [уточнить].</ns0:t>
            </ns0:r>
          </ns0:p>
        </ns0:tc>
      </ns0:tr>
      <ns0:tr>
        <ns0:tc>
          <ns0:tcPr/>
          <ns0:p>
            <ns0:pPr/>
            <ns0:r>
              <ns0:t xml:space="preserve">3.2.4</ns0:t>
            </ns0:r>
          </ns0:p>
        </ns0:tc>
        <ns0:tc>
          <ns0:tcPr/>
          <ns0:p>
            <ns0:pPr/>
            <ns0:r>
              <ns0:t xml:space="preserve">Моделирование потери пакетов и аварии сети.</ns0:t>
            </ns0:r>
          </ns0:p>
        </ns0:tc>
        <ns0:tc>
          <ns0:tcPr/>
          <ns0:p>
            <ns0:pPr/>
            <ns0:r>
              <ns0:t xml:space="preserve">Выдаётся AIS («все единицы») при сохранении тактирования.</ns0:t>
            </ns0:r>
          </ns0:p>
        </ns0:tc>
        <ns0:tc>
          <ns0:tcPr/>
          <ns0:p>
            <ns0:pPr/>
            <ns0:r>
              <ns0:t xml:space="preserve">Испытание.</ns0:t>
            </ns0:r>
          </ns0:p>
        </ns0:tc>
      </ns0:tr>
      <ns0:tr>
        <ns0:tc>
          <ns0:tcPr/>
          <ns0:p>
            <ns0:pPr/>
            <ns0:r>
              <ns0:t xml:space="preserve">3.2.5–3.2.6</ns0:t>
            </ns0:r>
          </ns0:p>
        </ns0:tc>
        <ns0:tc>
          <ns0:tcPr/>
          <ns0:p>
            <ns0:pPr/>
            <ns0:r>
              <ns0:t xml:space="preserve">Выбираются TCLK, ACR, Free-run/Holdover, Loop timing; выбирается входной порт.</ns0:t>
            </ns0:r>
          </ns0:p>
        </ns0:tc>
        <ns0:tc>
          <ns0:tcPr/>
          <ns0:p>
            <ns0:pPr/>
            <ns0:r>
              <ns0:t xml:space="preserve">Поддерживаются все заданные режимы; 2,048 МГц выбранного входа передаётся через B2B; соответствие G.823.</ns0:t>
            </ns0:r>
          </ns0:p>
        </ns0:tc>
        <ns0:tc>
          <ns0:tcPr/>
          <ns0:p>
            <ns0:pPr/>
            <ns0:r>
              <ns0:t xml:space="preserve">Испытание, измерение. Погрешности [уточнить].</ns0:t>
            </ns0:r>
          </ns0:p>
        </ns0:tc>
      </ns0:tr>
      <ns0:tr>
        <ns0:tc>
          <ns0:tcPr/>
          <ns0:p>
            <ns0:pPr/>
            <ns0:r>
              <ns0:t xml:space="preserve">3.2.7–3.2.8</ns0:t>
            </ns0:r>
          </ns0:p>
        </ns0:tc>
        <ns0:tc>
          <ns0:tcPr/>
          <ns0:p>
            <ns0:pPr/>
            <ns0:r>
              <ns0:t xml:space="preserve">Моделируются аварии; включаются петли и PRBS.</ns0:t>
            </ns0:r>
          </ns0:p>
        </ns0:tc>
        <ns0:tc>
          <ns0:tcPr/>
          <ns0:p>
            <ns0:pPr/>
            <ns0:r>
              <ns0:t xml:space="preserve">Регистрируются заданные аварии и ES/SES/UAS; работают три петли и PRBS 215−1, 223−1.</ns0:t>
            </ns0:r>
          </ns0:p>
        </ns0:tc>
        <ns0:tc>
          <ns0:tcPr/>
          <ns0:p>
            <ns0:pPr/>
            <ns0:r>
              <ns0:t xml:space="preserve">Испытание, анализ отчётов.</ns0:t>
            </ns0:r>
          </ns0:p>
        </ns0:tc>
      </ns0:tr>
      <ns0:tr>
        <ns0:tc>
          <ns0:tcPr/>
          <ns0:p>
            <ns0:pPr/>
            <ns0:r>
              <ns0:t xml:space="preserve">3.3.1–3.3.3</ns0:t>
            </ns0:r>
          </ns0:p>
        </ns0:tc>
        <ns0:tc>
          <ns0:tcPr/>
          <ns0:p>
            <ns0:pPr/>
            <ns0:r>
              <ns0:t xml:space="preserve">Осмотр и измерение конструкции; все порты активны.</ns0:t>
            </ns0:r>
          </ns0:p>
        </ns0:tc>
        <ns0:tc>
          <ns0:tcPr/>
          <ns0:p>
            <ns0:pPr/>
            <ns0:r>
              <ns0:t xml:space="preserve">Выполнены крепление, доступ, обзор, вентиляция, габариты и 4–6 стоек М2,5; мощность не более 12 Вт / 35 Вт.</ns0:t>
            </ns0:r>
          </ns0:p>
        </ns0:tc>
        <ns0:tc>
          <ns0:tcPr/>
          <ns0:p>
            <ns0:pPr/>
            <ns0:r>
              <ns0:t xml:space="preserve">Осмотр, измерение. Погрешности [уточнить].</ns0:t>
            </ns0:r>
          </ns0:p>
        </ns0:tc>
      </ns0:tr>
      <ns0:tr>
        <ns0:tc>
          <ns0:tcPr/>
          <ns0:p>
            <ns0:pPr/>
            <ns0:r>
              <ns0:t xml:space="preserve">3.3.4–3.3.5</ns0:t>
            </ns0:r>
          </ns0:p>
        </ns0:tc>
        <ns0:tc>
          <ns0:tcPr/>
          <ns0:p>
            <ns0:pPr/>
            <ns0:r>
              <ns0:t xml:space="preserve">Испытания в заданных условиях; анализ надёжности.</ns0:t>
            </ns0:r>
          </ns0:p>
        </ns0:tc>
        <ns0:tc>
          <ns0:tcPr/>
          <ns0:p>
            <ns0:pPr/>
            <ns0:r>
              <ns0:t xml:space="preserve">Соответствие заданным группам, температурам, 5g, 15g, группе радиопомех; MTBF не менее 15 000 ч; срок службы не менее 20 лет.</ns0:t>
            </ns0:r>
          </ns0:p>
        </ns0:tc>
        <ns0:tc>
          <ns0:tcPr/>
          <ns0:p>
            <ns0:pPr/>
            <ns0:r>
              <ns0:t xml:space="preserve">Испытание, анализ. Метод оценки [уточнить].</ns0:t>
            </ns0:r>
          </ns0:p>
        </ns0:tc>
      </ns0:tr>
    </ns0:tbl>
    <ns0:p>
      <ns0:pPr>
        <ns0:pStyle ns0:val="Heading1"/>
      </ns0:pPr>
      <ns0:r>
        <ns0:t xml:space="preserve">4. Технико-экономические требования</ns0:t>
      </ns0:r>
    </ns0:p>
    <ns0:p>
      <ns0:pPr/>
      <ns0:r>
        <ns0:t xml:space="preserve">4.1. Технико-экономические требования не предъявляются.</ns0:t>
      </ns0:r>
    </ns0:p>
    <ns0:p>
      <ns0:pPr>
        <ns0:pStyle ns0:val="Heading1"/>
      </ns0:pPr>
      <ns0:r>
        <ns0:t xml:space="preserve">5. Требования к видам обеспечения</ns0:t>
      </ns0:r>
    </ns0:p>
    <ns0:p>
      <ns0:pPr>
        <ns0:pStyle ns0:val="Heading2"/>
      </ns0:pPr>
      <ns0:r>
        <ns0:t xml:space="preserve">5.1. Нормативно-техническое обеспечение</ns0:t>
      </ns0:r>
    </ns0:p>
    <ns0:p>
      <ns0:pPr/>
      <ns0:r>
        <ns0:t xml:space="preserve">5.1.1. РКД, программная документация и иная документация, разрабатываемая в составе СЧ ОКР, должны учитывать документы, приведённые в перечне применимых нормативных и справочных документов настоящего ТЗ.</ns0:t>
      </ns0:r>
    </ns0:p>
    <ns0:p>
      <ns0:pPr>
        <ns0:pStyle ns0:val="Heading2"/>
      </ns0:pPr>
      <ns0:r>
        <ns0:t xml:space="preserve">5.2. Метрологическое обеспечение</ns0:t>
      </ns0:r>
    </ns0:p>
    <ns0:p>
      <ns0:pPr/>
      <ns0:r>
        <ns0:t xml:space="preserve">5.2.1. Должны быть предусмотрены средства и методики измерения маски импульса E1, джиттера/вандера, BER и задержки пакетизации.</ns0:t>
      </ns0:r>
    </ns0:p>
    <ns0:p>
      <ns0:pPr/>
      <ns0:r>
        <ns0:t xml:space="preserve">5.2.2. Числовые допуски, погрешности измерений, периодичность и состав средств измерений, не заданные исходными требованиями: [уточнить].</ns0:t>
      </ns0:r>
    </ns0:p>
    <ns0:p>
      <ns0:pPr>
        <ns0:pStyle ns0:val="Heading2"/>
      </ns0:pPr>
      <ns0:r>
        <ns0:t xml:space="preserve">5.3. Диагностическое обеспечение</ns0:t>
      </ns0:r>
    </ns0:p>
    <ns0:p>
      <ns0:pPr/>
      <ns0:r>
        <ns0:t xml:space="preserve">5.3.1. Должны быть предусмотрены регистрация LOS/LOF/AIS/RAI и счётчиков ошибок, формирование сообщений и отчётов для РМО.</ns0:t>
      </ns0:r>
    </ns0:p>
    <ns0:p>
      <ns0:pPr>
        <ns0:pStyle ns0:val="Heading2"/>
      </ns0:pPr>
      <ns0:r>
        <ns0:t xml:space="preserve">5.4. Программное и информационно-лингвистическое обеспечение</ns0:t>
      </ns0:r>
    </ns0:p>
    <ns0:p>
      <ns0:pPr/>
      <ns0:r>
        <ns0:t xml:space="preserve">5.4.1. Должны быть разработаны bitstream функционального модуля для Flash базовой платы, драйверы Linux и MIB для РМО / SNMP.</ns0:t>
      </ns0:r>
    </ns0:p>
    <ns0:p>
      <ns0:pPr/>
      <ns0:r>
        <ns0:t xml:space="preserve">5.5. Проверка требований 5.1–5.4 выполняется анализом состава документации, осмотром средств и функциональным испытанием: должны быть представлены предусмотренные средства и методики, должна обеспечиваться регистрация заданных событий и доступность сообщений, отчётов, bitstream, драйверов Linux и MIB. Незаданные числовые критерии: [уточнить].</ns0:t>
      </ns0:r>
    </ns0:p>
    <ns0:p>
      <ns0:pPr>
        <ns0:pStyle ns0:val="Heading1"/>
      </ns0:pPr>
      <ns0:r>
        <ns0:t xml:space="preserve">6. Требования к сырью, материалам и комплектующим изделиям</ns0:t>
      </ns0:r>
    </ns0:p>
    <ns0:p>
      <ns0:pPr/>
      <ns0:r>
        <ns0:t xml:space="preserve">6.1. При создании и изготовлении изделия должен применяться приоритет отечественных материалов и комплектующих с приёмкой ОТК.</ns0:t>
      </ns0:r>
    </ns0:p>
    <ns0:p>
      <ns0:pPr/>
      <ns0:r>
        <ns0:t xml:space="preserve">6.2. При отсутствии отечественных аналогов допускается применять импортную ЭКБ промышленного температурного диапазона.</ns0:t>
      </ns0:r>
    </ns0:p>
    <ns0:p>
      <ns0:pPr/>
      <ns0:r>
        <ns0:t xml:space="preserve">6.3. Проверка выполняется анализом применённого состава материалов и комплектующих и документов приёмки ОТК. При применении импортной ЭКБ должно быть подтверждено отсутствие аналога; критерий и подтверждающий документ: [уточнить].</ns0:t>
      </ns0:r>
    </ns0:p>
    <ns0:p>
      <ns0:pPr>
        <ns0:pStyle ns0:val="Heading1"/>
      </ns0:pPr>
      <ns0:r>
        <ns0:t xml:space="preserve">7. Требования к консервации, упаковке и маркировке</ns0:t>
      </ns0:r>
    </ns0:p>
    <ns0:p>
      <ns0:pPr/>
      <ns0:r>
        <ns0:t xml:space="preserve">7.1. Маркировка изделия должна содержать децимальный номер, серийный номер и ревизию.</ns0:t>
      </ns0:r>
    </ns0:p>
    <ns0:p>
      <ns0:pPr/>
      <ns0:r>
        <ns0:t xml:space="preserve">7.2. Порты должны иметь маркировку E1-1…E1-8.</ns0:t>
      </ns0:r>
    </ns0:p>
    <ns0:p>
      <ns0:pPr/>
      <ns0:r>
        <ns0:t xml:space="preserve">7.3. Должна быть предусмотрена индивидуальная тара с ESD-защитой.</ns0:t>
      </ns0:r>
    </ns0:p>
    <ns0:p>
      <ns0:pPr/>
      <ns0:r>
        <ns0:t xml:space="preserve">7.4. Хранение в заводской таре должно обеспечиваться не менее 1 года по ГОСТ 15150.</ns0:t>
      </ns0:r>
    </ns0:p>
    <ns0:p>
      <ns0:pPr/>
      <ns0:r>
        <ns0:t xml:space="preserve">7.5. Условия и методы консервации, не заданные исходными требованиями: [уточнить].</ns0:t>
      </ns0:r>
    </ns0:p>
    <ns0:p>
      <ns0:pPr/>
      <ns0:r>
        <ns0:t xml:space="preserve">7.6. Проверка выполняется осмотром маркировки и тары, а также анализом документации на хранение: проверяются заданные реквизиты, E1-1…E1-8, наличие ESD-защиты и срок не менее 1 года. Незаданные условия консервации не являются критерием проверки до их определения.</ns0:t>
      </ns0:r>
    </ns0:p>
    <ns0:p>
      <ns0:pPr>
        <ns0:pStyle ns0:val="Heading1"/>
      </ns0:pPr>
      <ns0:r>
        <ns0:t xml:space="preserve">8. Специальные требования</ns0:t>
      </ns0:r>
    </ns0:p>
    <ns0:p>
      <ns0:pPr/>
      <ns0:r>
        <ns0:t xml:space="preserve">8.1. Для телеметрии РМО на C++/Qt должна быть предусмотрена мнемосхема восьми портов с отображением LOS/LOF/AIS/RAI, счётчиков G.826, выбранного профиля SAToP/CESoPSN и источника тактирования.</ns0:t>
      </ns0:r>
    </ns0:p>
    <ns0:p>
      <ns0:pPr/>
      <ns0:r>
        <ns0:t xml:space="preserve">8.2. Должны быть предусмотрены команды включения/отключения портов, изменения джиттер-буфера, управления диагностическими петлями и PRBS.</ns0:t>
      </ns0:r>
    </ns0:p>
    <ns0:p>
      <ns0:pPr/>
      <ns0:r>
        <ns0:t xml:space="preserve">8.3. Проверка выполняется функциональным испытанием РМО: отображаются восемь портов и заданные параметры; команды из 8.2 вызывают соответствующие действия. Незаданные формат сообщений, интерфейс пользователя и права доступа: [уточнить].</ns0:t>
      </ns0:r>
    </ns0:p>
    <ns0:p>
      <ns0:pPr>
        <ns0:pageBreakBefore/>
      </ns0:pPr>
    </ns0:p>
    <ns0:p>
      <ns0:pPr>
        <ns0:pStyle ns0:val="Heading1"/>
      </ns0:pPr>
      <ns0:r>
        <ns0:t xml:space="preserve">ПОДПИСИ РАЗРАБОТЧИКОВ ТЕХНИЧЕСКОГО ЗАДАНИЯ</ns0:t>
      </ns0:r>
    </ns0:p>
    <ns0:tbl>
      <ns0:tblPr>
        <ns0:tblW ns0:w="0" ns0:type="auto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Организация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Должность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Ф. И. О.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Подпись</ns0:t>
            </ns0:r>
          </ns0:p>
        </ns0:tc>
        <ns0:tc>
          <ns0:tcPr/>
          <ns0:p>
            <ns0:pPr>
              <ns0:jc ns0:val="center"/>
            </ns0:pPr>
            <ns0:r>
              <ns0:rPr>
                <ns0:b/>
              </ns0:rPr>
              <ns0:t xml:space="preserve">Дата</ns0:t>
            </ns0:r>
          </ns0:p>
        </ns0:tc>
      </ns0:tr>
      <ns0:tr>
        <ns0:tc>
          <ns0:tcPr/>
          <ns0:p>
            <ns0:pPr/>
            <ns0:r>
              <ns0:t xml:space="preserve">ООО «тушканчик»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</ns0:tr>
      <ns0:tr>
        <ns0:tc>
          <ns0:tcPr/>
          <ns0:p>
            <ns0:pPr/>
            <ns0:r>
              <ns0:t xml:space="preserve">ООО «тушканчик»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[уточнить]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  <ns0:tc>
          <ns0:tcPr/>
          <ns0:p>
            <ns0:pPr/>
            <ns0:r>
              <ns0:t xml:space="preserve">____________</ns0:t>
            </ns0:r>
          </ns0:p>
        </ns0:tc>
      </ns0:tr>
    </ns0:tbl>
    <ns0:p>
      <ns0:pPr/>
      <ns0:r>
        <ns0:t xml:space="preserve">Согласующие подписи других организаций помещают после подписей разработчиков при их определении.</ns0:t>
      </ns0:r>
    </ns0:p>
    <ns0:sectPr>
      <ns0:pgSz ns0:w="11906" ns0:h="16838"/>
      <ns0:pgMar ns0:top="1134" ns0:right="850" ns0:bottom="1134" ns0:left="1417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</w:rPr>
    </w:rPrDefault>
  </w:docDefaults>
  <w:style w:type="paragraph" w:default="1" w:styleId="Normal">
    <w:name w:val="Normal"/>
    <w:pPr>
      <w:spacing w:after="120" w:line="300" w:lineRule="auto"/>
    </w:pPr>
  </w:style>
  <w:style w:type="paragraph" w:styleId="Heading1">
    <w:name w:val="heading 1"/>
    <w:basedOn w:val="Normal"/>
    <w:pPr>
      <w:jc w:val="center"/>
      <w:spacing w:before="280" w:after="180"/>
    </w:pPr>
    <w:rPr>
      <w:b/>
      <w:sz w:val="32"/>
    </w:rPr>
  </w:style>
  <w:style w:type="paragraph" w:styleId="Heading2">
    <w:name w:val="heading 2"/>
    <w:basedOn w:val="Normal"/>
    <w:pPr>
      <w:spacing w:before="220" w:after="100"/>
    </w:pPr>
    <w:rPr>
      <w:b/>
      <w:sz w:val="28"/>
    </w:rPr>
  </w:style>
  <w:style w:type="paragraph" w:styleId="Heading3">
    <w:name w:val="heading 3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