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0"/>
        </w:rPr>
        <w:t xml:space="preserve">СОГЛАСОВАНО</w:t>
      </w:r>
    </w:p>
    <w:tbl>
      <w:tblPr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p>
            <w:r>
              <w:rPr>
                <w:b/>
                <w:sz w:val="18"/>
              </w:rPr>
              <w:t xml:space="preserve">Заказчик (НИО заказчика)</w:t>
            </w:r>
          </w:p>
        </w:tc>
        <w:tc>
          <w:p>
            <w:r>
              <w:rPr>
                <w:b/>
                <w:sz w:val="18"/>
              </w:rPr>
              <w:t xml:space="preserve">Исполнитель составной части ОКР</w:t>
            </w:r>
          </w:p>
        </w:tc>
        <w:tc>
          <w:p>
            <w:r>
              <w:rPr>
                <w:b/>
                <w:sz w:val="18"/>
              </w:rPr>
              <w:t xml:space="preserve">Головной исполнитель ОКР</w:t>
            </w:r>
          </w:p>
        </w:tc>
      </w:tr>
      <w:tr>
        <w:tc>
          <w:p>
            <w:r>
              <w:rPr>
                <w:sz w:val="18"/>
              </w:rPr>
              <w:t xml:space="preserve">должность: [уточнить] подпись, инициалы, фамилия: [уточнить] «___» __________ 20__ г.</w:t>
            </w:r>
          </w:p>
        </w:tc>
        <w:tc>
          <w:p>
            <w:r>
              <w:rPr>
                <w:sz w:val="18"/>
              </w:rPr>
              <w:t xml:space="preserve">ООО «тушканчик» должность: [уточнить] подпись, инициалы, фамилия: [уточнить] «___» __________ 20__ г.</w:t>
            </w:r>
          </w:p>
        </w:tc>
        <w:tc>
          <w:p>
            <w:r>
              <w:rPr>
                <w:sz w:val="18"/>
              </w:rPr>
              <w:t xml:space="preserve">должность: [уточнить] подпись, инициалы, фамилия: [уточнить] «___» __________ 20__ г.</w:t>
            </w:r>
          </w:p>
        </w:tc>
      </w:tr>
    </w:tbl>
    <w:p>
      <w:r>
        <w:rPr>
          <w:sz w:val="20"/>
        </w:rPr>
        <w:t xml:space="preserve"/>
      </w:r>
    </w:p>
    <w:p>
      <w:r>
        <w:rPr>
          <w:sz w:val="20"/>
        </w:rPr>
        <w:t xml:space="preserve">УТВЕРЖДАЮ</w:t>
      </w:r>
    </w:p>
    <w:p>
      <w:r>
        <w:rPr>
          <w:sz w:val="20"/>
        </w:rPr>
        <w:t xml:space="preserve">должность: [уточнить] подпись, инициалы, фамилия: [уточнить] «___» __________ 20__ г.</w:t>
      </w:r>
    </w:p>
    <w:p>
      <w:r>
        <w:rPr>
          <w:sz w:val="20"/>
        </w:rPr>
        <w:t xml:space="preserve"/>
      </w:r>
    </w:p>
    <w:p>
      <w:r>
        <w:rPr>
          <w:b/>
          <w:sz w:val="20"/>
        </w:rPr>
        <w:t xml:space="preserve">ТЕХНИЧЕСКОЕ ЗАДАНИЕ</w:t>
      </w:r>
    </w:p>
    <w:p>
      <w:r>
        <w:rPr>
          <w:sz w:val="20"/>
        </w:rPr>
        <w:t xml:space="preserve">НА СОСТАВНУЮ ЧАСТЬ ОПЫТНО-КОНСТРУКТОРСКОЙ РАБОТЫ</w:t>
      </w:r>
    </w:p>
    <w:p>
      <w:r>
        <w:rPr>
          <w:sz w:val="20"/>
        </w:rPr>
        <w:t xml:space="preserve">«Развитие-ТСА»</w:t>
      </w:r>
    </w:p>
    <w:p>
      <w:r>
        <w:rPr>
          <w:sz w:val="20"/>
        </w:rPr>
        <w:t xml:space="preserve">наименование и шифр ОКР</w:t>
      </w:r>
    </w:p>
    <w:p>
      <w:r>
        <w:rPr>
          <w:sz w:val="20"/>
        </w:rPr>
        <w:t xml:space="preserve"/>
      </w:r>
    </w:p>
    <w:p>
      <w:r>
        <w:rPr>
          <w:sz w:val="20"/>
        </w:rPr>
        <w:t xml:space="preserve">Сменная интерфейсная субплата E2/E3 и функциональный модуль PDH для универсального базового модуля AMC семейства ДММП</w:t>
      </w:r>
    </w:p>
    <w:p>
      <w:r>
        <w:rPr>
          <w:sz w:val="20"/>
        </w:rPr>
        <w:t xml:space="preserve">обозначение составной части изделия</w:t>
      </w:r>
    </w:p>
    <w:p>
      <w:r>
        <w:rPr>
          <w:sz w:val="20"/>
        </w:rPr>
        <w:t xml:space="preserve"/>
      </w:r>
    </w:p>
    <w:p>
      <w:r>
        <w:rPr>
          <w:sz w:val="20"/>
        </w:rPr>
        <w:t xml:space="preserve">Регистрационный номер: [уточнить]</w:t>
      </w:r>
    </w:p>
    <w:p>
      <w:r>
        <w:rPr>
          <w:sz w:val="20"/>
        </w:rPr>
        <w:t xml:space="preserve">Дата: [уточнить]</w:t>
      </w:r>
    </w:p>
    <w:p>
      <w:r>
        <w:br w:type="page"/>
      </w:r>
    </w:p>
    <w:p>
      <w:r>
        <w:rPr>
          <w:b/>
          <w:sz w:val="20"/>
        </w:rPr>
        <w:t xml:space="preserve">ЛИСТ СОГЛАСОВАНИЯ</w:t>
      </w:r>
    </w:p>
    <w:p>
      <w:r>
        <w:rPr>
          <w:sz w:val="20"/>
        </w:rPr>
        <w:t xml:space="preserve">к ТЗ на составную часть ОКР «Развитие-ТСА»</w:t>
      </w:r>
    </w:p>
    <w:tbl>
      <w:tblPr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p>
            <w:r>
              <w:rPr>
                <w:b/>
                <w:sz w:val="18"/>
              </w:rPr>
              <w:t xml:space="preserve">Организация / роль</w:t>
            </w:r>
          </w:p>
        </w:tc>
        <w:tc>
          <w:p>
            <w:r>
              <w:rPr>
                <w:b/>
                <w:sz w:val="18"/>
              </w:rPr>
              <w:t xml:space="preserve">Должность</w:t>
            </w:r>
          </w:p>
        </w:tc>
        <w:tc>
          <w:p>
            <w:r>
              <w:rPr>
                <w:b/>
                <w:sz w:val="18"/>
              </w:rPr>
              <w:t xml:space="preserve">Подпись, инициалы, фамилия</w:t>
            </w:r>
          </w:p>
        </w:tc>
        <w:tc>
          <w:p>
            <w:r>
              <w:rPr>
                <w:b/>
                <w:sz w:val="18"/>
              </w:rPr>
              <w:t xml:space="preserve">Дата</w:t>
            </w:r>
          </w:p>
        </w:tc>
      </w:tr>
      <w:tr>
        <w:tc>
          <w:p>
            <w:r>
              <w:rPr>
                <w:sz w:val="18"/>
              </w:rPr>
              <w:t xml:space="preserve">Заказчик (НИО заказчика)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Исполнитель составной части ОКР — ООО «тушканчик»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Другие согласующие организации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</w:tbl>
    <w:p>
      <w:r>
        <w:rPr>
          <w:sz w:val="20"/>
        </w:rPr>
        <w:t xml:space="preserve"/>
      </w:r>
    </w:p>
    <w:p>
      <w:r>
        <w:rPr>
          <w:sz w:val="20"/>
        </w:rPr>
        <w:t xml:space="preserve">Примечание. ТЗ на составную часть ОКР согласовывает и утверждает головной исполнитель ОКР; перечень согласующих организаций и должностные лица не заданы и подлежат уточнению.</w:t>
      </w:r>
    </w:p>
    <w:p>
      <w:r>
        <w:rPr>
          <w:sz w:val="20"/>
        </w:rPr>
        <w:t xml:space="preserve">Содержание</w:t>
      </w:r>
    </w:p>
    <w:p>
      <w:r>
        <w:rPr>
          <w:b/>
          <w:sz w:val="20"/>
        </w:rPr>
        <w:t xml:space="preserve">1 Наименование, шифр, основание, исполнители и сроки ОКР</w:t>
      </w:r>
    </w:p>
    <w:p>
      <w:r>
        <w:rPr>
          <w:b/>
          <w:sz w:val="20"/>
        </w:rPr>
        <w:t xml:space="preserve">2 Цель выполнения, наименование, назначение и область применения изделия</w:t>
      </w:r>
    </w:p>
    <w:p>
      <w:r>
        <w:rPr>
          <w:b/>
          <w:sz w:val="20"/>
        </w:rPr>
        <w:t xml:space="preserve">3 Технические требования к изделию</w:t>
      </w:r>
    </w:p>
    <w:p>
      <w:r>
        <w:rPr>
          <w:b/>
          <w:sz w:val="20"/>
        </w:rPr>
        <w:t xml:space="preserve">4 Технико-экономические требования</w:t>
      </w:r>
    </w:p>
    <w:p>
      <w:r>
        <w:rPr>
          <w:b/>
          <w:sz w:val="20"/>
        </w:rPr>
        <w:t xml:space="preserve">5 Требования к видам обеспечения</w:t>
      </w:r>
    </w:p>
    <w:p>
      <w:r>
        <w:rPr>
          <w:b/>
          <w:sz w:val="20"/>
        </w:rPr>
        <w:t xml:space="preserve">6 Требования к сырью, материалам и комплектующим изделиям</w:t>
      </w:r>
    </w:p>
    <w:p>
      <w:r>
        <w:rPr>
          <w:b/>
          <w:sz w:val="20"/>
        </w:rPr>
        <w:t xml:space="preserve">7 Требования к консервации, упаковке и маркировке</w:t>
      </w:r>
    </w:p>
    <w:p>
      <w:r>
        <w:rPr>
          <w:b/>
          <w:sz w:val="20"/>
        </w:rPr>
        <w:t xml:space="preserve">8 Специальные требования</w:t>
      </w:r>
    </w:p>
    <w:p>
      <w:r>
        <w:br w:type="page"/>
      </w:r>
    </w:p>
    <w:p>
      <w:r>
        <w:rPr>
          <w:b/>
          <w:sz w:val="20"/>
        </w:rPr>
        <w:t xml:space="preserve">ПЕРЕЧЕНЬ ОБОЗНАЧЕНИЙ, СОКРАЩЕНИЙ И ТЕРМИНОВ</w:t>
      </w:r>
    </w:p>
    <w:tbl>
      <w:tblPr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p>
            <w:r>
              <w:rPr>
                <w:b/>
                <w:sz w:val="18"/>
              </w:rPr>
              <w:t xml:space="preserve">Обозначение / термин</w:t>
            </w:r>
          </w:p>
        </w:tc>
        <w:tc>
          <w:p>
            <w:r>
              <w:rPr>
                <w:b/>
                <w:sz w:val="18"/>
              </w:rPr>
              <w:t xml:space="preserve">Раскрытие или значение</w:t>
            </w:r>
          </w:p>
        </w:tc>
      </w:tr>
      <w:tr>
        <w:tc>
          <w:p>
            <w:r>
              <w:rPr>
                <w:sz w:val="18"/>
              </w:rPr>
              <w:t xml:space="preserve">AMC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ПЛИС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B2B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Board ID</w:t>
            </w:r>
          </w:p>
        </w:tc>
        <w:tc>
          <w:p>
            <w:r>
              <w:rPr>
                <w:sz w:val="18"/>
              </w:rPr>
              <w:t xml:space="preserve">идентификатор платы; значение 0x03</w:t>
            </w:r>
          </w:p>
        </w:tc>
      </w:tr>
      <w:tr>
        <w:tc>
          <w:p>
            <w:r>
              <w:rPr>
                <w:sz w:val="18"/>
              </w:rPr>
              <w:t xml:space="preserve">MMC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РМО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ОКР</w:t>
            </w:r>
          </w:p>
        </w:tc>
        <w:tc>
          <w:p>
            <w:r>
              <w:rPr>
                <w:sz w:val="18"/>
              </w:rPr>
              <w:t xml:space="preserve">опытно-конструкторская работа</w:t>
            </w:r>
          </w:p>
        </w:tc>
      </w:tr>
      <w:tr>
        <w:tc>
          <w:p>
            <w:r>
              <w:rPr>
                <w:sz w:val="18"/>
              </w:rPr>
              <w:t xml:space="preserve">РКД</w:t>
            </w:r>
          </w:p>
        </w:tc>
        <w:tc>
          <w:p>
            <w:r>
              <w:rPr>
                <w:sz w:val="18"/>
              </w:rPr>
              <w:t xml:space="preserve">рабочая конструкторская документация</w:t>
            </w:r>
          </w:p>
        </w:tc>
      </w:tr>
      <w:tr>
        <w:tc>
          <w:p>
            <w:r>
              <w:rPr>
                <w:sz w:val="18"/>
              </w:rPr>
              <w:t xml:space="preserve">ПМИ</w:t>
            </w:r>
          </w:p>
        </w:tc>
        <w:tc>
          <w:p>
            <w:r>
              <w:rPr>
                <w:sz w:val="18"/>
              </w:rPr>
              <w:t xml:space="preserve">программа и методика испытаний; применяемое раскрытие приведено по требованиям исходных данных</w:t>
            </w:r>
          </w:p>
        </w:tc>
      </w:tr>
      <w:tr>
        <w:tc>
          <w:p>
            <w:r>
              <w:rPr>
                <w:sz w:val="18"/>
              </w:rPr>
              <w:t xml:space="preserve">PDH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E2, E3</w:t>
            </w:r>
          </w:p>
        </w:tc>
        <w:tc>
          <w:p>
            <w:r>
              <w:rPr>
                <w:sz w:val="18"/>
              </w:rPr>
              <w:t xml:space="preserve">обозначения потоков/интерфейсов, заданные исходными данными</w:t>
            </w:r>
          </w:p>
        </w:tc>
      </w:tr>
      <w:tr>
        <w:tc>
          <w:p>
            <w:r>
              <w:rPr>
                <w:sz w:val="18"/>
              </w:rPr>
              <w:t xml:space="preserve">E2oP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SAToP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TDM-over-Packet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LIU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TCLK</w:t>
            </w:r>
          </w:p>
        </w:tc>
        <w:tc>
          <w:p>
            <w:r>
              <w:rPr>
                <w:sz w:val="18"/>
              </w:rPr>
              <w:t xml:space="preserve">сигнал тактирования 19,44 МГц</w:t>
            </w:r>
          </w:p>
        </w:tc>
      </w:tr>
      <w:tr>
        <w:tc>
          <w:p>
            <w:r>
              <w:rPr>
                <w:sz w:val="18"/>
              </w:rPr>
              <w:t xml:space="preserve">ACR / DCR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AIS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LOS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BPV / CV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BER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PRBS 2^23−1</w:t>
            </w:r>
          </w:p>
        </w:tc>
        <w:tc>
          <w:p>
            <w:r>
              <w:rPr>
                <w:sz w:val="18"/>
              </w:rPr>
              <w:t xml:space="preserve">псевдослучайная двоичная последовательность с обозначением, указанным в исходных данных</w:t>
            </w:r>
          </w:p>
        </w:tc>
      </w:tr>
      <w:tr>
        <w:tc>
          <w:p>
            <w:r>
              <w:rPr>
                <w:sz w:val="18"/>
              </w:rPr>
              <w:t xml:space="preserve">QoS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MIB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ESD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HDB3</w:t>
            </w:r>
          </w:p>
        </w:tc>
        <w:tc>
          <w:p>
            <w:r>
              <w:rPr>
                <w:sz w:val="18"/>
              </w:rPr>
              <w:t xml:space="preserve">код HDB3</w:t>
            </w:r>
          </w:p>
        </w:tc>
      </w:tr>
      <w:tr>
        <w:tc>
          <w:p>
            <w:r>
              <w:rPr>
                <w:sz w:val="18"/>
              </w:rPr>
              <w:t xml:space="preserve">TX / RX</w:t>
            </w:r>
          </w:p>
        </w:tc>
        <w:tc>
          <w:p>
            <w:r>
              <w:rPr>
                <w:sz w:val="18"/>
              </w:rPr>
              <w:t xml:space="preserve">передающая / приемная коаксиальная цепь; официальное раскрытие не задано</w:t>
            </w:r>
          </w:p>
        </w:tc>
      </w:tr>
    </w:tbl>
    <w:p>
      <w:r>
        <w:rPr>
          <w:sz w:val="20"/>
        </w:rPr>
        <w:t xml:space="preserve"/>
      </w:r>
    </w:p>
    <w:p>
      <w:r>
        <w:rPr>
          <w:sz w:val="20"/>
        </w:rPr>
        <w:t xml:space="preserve">Примечание. Расшифровки, отсутствующие в исходных данных, обозначены [уточнить] и не восполнялись внешними сведениями.</w:t>
      </w:r>
    </w:p>
    <w:p>
      <w:r>
        <w:rPr>
          <w:b/>
          <w:sz w:val="20"/>
        </w:rPr>
        <w:t xml:space="preserve">ПЕРЕЧЕНЬ ПРИМЕНИМЫХ НОРМАТИВНЫХ И СПРАВОЧНЫХ ДОКУМЕНТОВ</w:t>
      </w:r>
    </w:p>
    <w:p>
      <w:r>
        <w:rPr>
          <w:sz w:val="20"/>
        </w:rPr>
        <w:t xml:space="preserve">ITU-T G.703</w:t>
      </w:r>
    </w:p>
    <w:p>
      <w:r>
        <w:rPr>
          <w:sz w:val="20"/>
        </w:rPr>
        <w:t xml:space="preserve">ITU-T G.704</w:t>
      </w:r>
    </w:p>
    <w:p>
      <w:r>
        <w:rPr>
          <w:sz w:val="20"/>
        </w:rPr>
        <w:t xml:space="preserve">ITU-T G.751</w:t>
      </w:r>
    </w:p>
    <w:p>
      <w:r>
        <w:rPr>
          <w:sz w:val="20"/>
        </w:rPr>
        <w:t xml:space="preserve">ITU-T G.823</w:t>
      </w:r>
    </w:p>
    <w:p>
      <w:r>
        <w:rPr>
          <w:sz w:val="20"/>
        </w:rPr>
        <w:t xml:space="preserve">RFC 4553</w:t>
      </w:r>
    </w:p>
    <w:p>
      <w:r>
        <w:rPr>
          <w:sz w:val="20"/>
        </w:rPr>
        <w:t xml:space="preserve">PICMG AMC.0 R2.0</w:t>
      </w:r>
    </w:p>
    <w:p>
      <w:r>
        <w:rPr>
          <w:sz w:val="20"/>
        </w:rPr>
        <w:t xml:space="preserve">ГОСТ РВ 20.39.304-98</w:t>
      </w:r>
    </w:p>
    <w:p>
      <w:r>
        <w:rPr>
          <w:sz w:val="20"/>
        </w:rPr>
        <w:t xml:space="preserve">ГОСТ В 25803-91</w:t>
      </w:r>
    </w:p>
    <w:p>
      <w:r>
        <w:rPr>
          <w:sz w:val="20"/>
        </w:rPr>
        <w:t xml:space="preserve">ГОСТ 2.114-2016</w:t>
      </w:r>
    </w:p>
    <w:p>
      <w:r>
        <w:rPr>
          <w:sz w:val="20"/>
        </w:rPr>
        <w:t xml:space="preserve">ГОСТ РВ 15.201-2003</w:t>
      </w:r>
    </w:p>
    <w:p>
      <w:r>
        <w:rPr>
          <w:sz w:val="20"/>
        </w:rPr>
        <w:t xml:space="preserve">ГОСТ 15150</w:t>
      </w:r>
    </w:p>
    <w:p>
      <w:r>
        <w:rPr>
          <w:sz w:val="20"/>
        </w:rPr>
        <w:t xml:space="preserve">ГОСТ 15.016-2016</w:t>
      </w:r>
    </w:p>
    <w:p>
      <w:r>
        <w:rPr>
          <w:sz w:val="20"/>
        </w:rPr>
        <w:t xml:space="preserve">Примечание. Наименования и редакции документов, кроме обозначений, в исходных данных не приведены; дополнение наименований и редакций не выполнялось.</w:t>
      </w:r>
    </w:p>
    <w:p>
      <w:r>
        <w:br w:type="page"/>
      </w:r>
    </w:p>
    <w:p>
      <w:r>
        <w:rPr>
          <w:b/>
          <w:sz w:val="20"/>
        </w:rPr>
        <w:t xml:space="preserve">1 Наименование, шифр, основание, исполнители и сроки ОКР</w:t>
      </w:r>
    </w:p>
    <w:p>
      <w:r>
        <w:rPr>
          <w:sz w:val="20"/>
        </w:rPr>
        <w:t xml:space="preserve">1.1. Разработать сменную интерфейсную субплату E2/E3 и функциональный модуль PDH для универсального базового модуля AMC семейства ДММП. Проверка: проверка состава проектной и рабочей документации; метод — инспекция</w:t>
      </w:r>
    </w:p>
    <w:p>
      <w:r>
        <w:rPr>
          <w:sz w:val="20"/>
        </w:rPr>
        <w:t xml:space="preserve">1.2. Шифр ОКР — «Развитие-ТСА». Проверка: инспекция титульной и рабочей документации</w:t>
      </w:r>
    </w:p>
    <w:p>
      <w:r>
        <w:rPr>
          <w:sz w:val="20"/>
        </w:rPr>
        <w:t xml:space="preserve">1.3. Основание — приказ об открытии инициативной ОКР № [уточнить] от [уточнить]. Проверка: инспекция реквизитов приказа; даты и номер не заданы</w:t>
      </w:r>
    </w:p>
    <w:p>
      <w:r>
        <w:rPr>
          <w:sz w:val="20"/>
        </w:rPr>
        <w:t xml:space="preserve">1.4. Исполнитель — ООО «тушканчик» (условное наименование из исходных данных). Проверка: инспекция реквизитов исполнителя</w:t>
      </w:r>
    </w:p>
    <w:p>
      <w:r>
        <w:rPr>
          <w:sz w:val="20"/>
        </w:rPr>
        <w:t xml:space="preserve">1.5. Сроки выполнения связать с утверждённым планом-графиком РКД, программной документации, изготовления образцов и испытаний; календарные даты — [уточнить]. Проверка: инспекция утверждённого плана-графика; отсутствующие даты не устанавливаются</w:t>
      </w:r>
    </w:p>
    <w:p>
      <w:r>
        <w:rPr>
          <w:b/>
          <w:sz w:val="20"/>
        </w:rPr>
        <w:t xml:space="preserve">2 Цель выполнения, наименование, назначение и область применения изделия</w:t>
      </w:r>
    </w:p>
    <w:p>
      <w:r>
        <w:rPr>
          <w:sz w:val="20"/>
        </w:rPr>
        <w:t xml:space="preserve">2.1. Цель — подключить два независимых потока E2 и один E3 к платформе ДММП через коаксиальные линии, обеспечить TDM-over-Packet, джиттер-буферизацию и синхронизацию. Проверка: функциональное испытание в режимах E2-1, E2-2 и E3-1; методика и критерии, не заданные исходными данными, — [уточнить]</w:t>
      </w:r>
    </w:p>
    <w:p>
      <w:r>
        <w:rPr>
          <w:sz w:val="20"/>
        </w:rPr>
        <w:t xml:space="preserve">2.2. Применение — PDH-тракты 8 и 34 Мбит/с энергетики, железнодорожного транспорта и магистральных операторов. Проверка: анализ области применения и инспекция документации</w:t>
      </w:r>
    </w:p>
    <w:p>
      <w:r>
        <w:rPr>
          <w:sz w:val="20"/>
        </w:rPr>
        <w:t xml:space="preserve">2.3. Субплата является аппаратной частью и включает интерфейсы, защиту, трансиверы, EEPROM Board ID и соединение через B2B. Проверка: инспекция конструкции и РКД</w:t>
      </w:r>
    </w:p>
    <w:p>
      <w:r>
        <w:rPr>
          <w:sz w:val="20"/>
        </w:rPr>
        <w:t xml:space="preserve">2.4. Логическая часть — функциональный модуль ПЛИС базовой платы; он автоматически активируется по Board ID. Проверка: испытание включения базовой платы с Board ID 0x03; наблюдение загрузки bitstream PDH</w:t>
      </w:r>
    </w:p>
    <w:p>
      <w:r>
        <w:rPr>
          <w:sz w:val="20"/>
        </w:rPr>
        <w:t xml:space="preserve">2.5. AMC устанавливается на Carrier платформы ДММП. Проверка: инспекция совместной установки и функциональное испытание; критерии сопряжения [уточнить]</w:t>
      </w:r>
    </w:p>
    <w:p>
      <w:r>
        <w:rPr>
          <w:b/>
          <w:sz w:val="20"/>
        </w:rPr>
        <w:t xml:space="preserve">3 Технические требования к изделию</w:t>
      </w:r>
    </w:p>
    <w:p>
      <w:r>
        <w:rPr>
          <w:sz w:val="20"/>
        </w:rPr>
        <w:t xml:space="preserve">3.1 Архитектура, разъёмы и кабели</w:t>
      </w:r>
    </w:p>
    <w:p>
      <w:r>
        <w:rPr>
          <w:sz w:val="20"/>
        </w:rPr>
        <w:t xml:space="preserve">3.1.1. Субплата должна подключаться через B2B и иметь 3 экранированных вибростойких разъёма HARTING PushPull 09452812560 с замковой фиксацией. Проверка: инспекция изделия и РКД; идентификатор и количество — 3 шт.</w:t>
      </w:r>
    </w:p>
    <w:p>
      <w:r>
        <w:rPr>
          <w:sz w:val="20"/>
        </w:rPr>
        <w:t xml:space="preserve">3.1.2. Тракты должны иметь сопротивление 75 Ом, ВЧ-трансформаторы, LIU, EEPROM Board ID 0x03 и светодиоды. Проверка: инспекция и измерение сопротивления; состав элементов — инспекция</w:t>
      </w:r>
    </w:p>
    <w:p>
      <w:r>
        <w:rPr>
          <w:sz w:val="20"/>
        </w:rPr>
        <w:t xml:space="preserve">3.1.3. Базовая плата предоставляет +12 В/+3,3 В, MMC и тактирование и автоматически загружает bitstream PDH из Flash. Проверка: инспекция интерфейса и функциональное испытание загрузки; параметры, не заданные исходными данными, — [уточнить]</w:t>
      </w:r>
    </w:p>
    <w:p>
      <w:r>
        <w:rPr>
          <w:sz w:val="20"/>
        </w:rPr>
        <w:t xml:space="preserve">3.1.4. Разъёмы E2-1, E2-2 и E3-1 должны обслуживать отдельные TX/RX коаксиальные цепи 75 Ом. Проверка: проверка трассировки и измерение импеданса; методика [уточнить]</w:t>
      </w:r>
    </w:p>
    <w:p>
      <w:r>
        <w:rPr>
          <w:sz w:val="20"/>
        </w:rPr>
        <w:t xml:space="preserve">3.1.5. В комплект и РКД включить экранированные адаптеры HARTING PushPull → две вилки BNC 75 Ом / DIN 1.0/2.3 с маркировкой TX/RX. Проверка: инспекция комплекта, РКД и маркировки</w:t>
      </w:r>
    </w:p>
    <w:p>
      <w:r>
        <w:rPr>
          <w:sz w:val="20"/>
        </w:rPr>
        <w:t xml:space="preserve">3.1.6. BNC 50 Ом не допускаются по импедансу и габаритам. Проверка: инспекция комплектующих и контроль импеданса</w:t>
      </w:r>
    </w:p>
    <w:p>
      <w:r>
        <w:rPr>
          <w:sz w:val="20"/>
        </w:rPr>
        <w:t xml:space="preserve">3.2 Электрические параметры</w:t>
      </w:r>
    </w:p>
    <w:tbl>
      <w:tblPr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p>
            <w:r>
              <w:rPr>
                <w:b/>
                <w:sz w:val="18"/>
              </w:rPr>
              <w:t xml:space="preserve">E2 (два порта)</w:t>
            </w:r>
          </w:p>
        </w:tc>
        <w:tc>
          <w:p>
            <w:r>
              <w:rPr>
                <w:b/>
                <w:sz w:val="18"/>
              </w:rPr>
              <w:t xml:space="preserve">E3 (один порт)</w:t>
            </w:r>
          </w:p>
        </w:tc>
      </w:tr>
      <w:tr>
        <w:tc>
          <w:p>
            <w:r>
              <w:rPr>
                <w:sz w:val="18"/>
              </w:rPr>
              <w:t xml:space="preserve">Скорость</w:t>
            </w:r>
          </w:p>
        </w:tc>
        <w:tc>
          <w:p>
            <w:r>
              <w:rPr>
                <w:sz w:val="18"/>
              </w:rPr>
              <w:t xml:space="preserve">8448 кбит/с (8,448 Мбит/с) ±30 ppm</w:t>
            </w:r>
          </w:p>
        </w:tc>
        <w:tc>
          <w:p>
            <w:r>
              <w:rPr>
                <w:sz w:val="18"/>
              </w:rPr>
              <w:t xml:space="preserve">34 368 кбит/с (34,368 Мбит/с) ±20 ppm</w:t>
            </w:r>
          </w:p>
        </w:tc>
      </w:tr>
      <w:tr>
        <w:tc>
          <w:p>
            <w:r>
              <w:rPr>
                <w:sz w:val="18"/>
              </w:rPr>
              <w:t xml:space="preserve">Код и сопротивление</w:t>
            </w:r>
          </w:p>
        </w:tc>
        <w:tc>
          <w:p>
            <w:r>
              <w:rPr>
                <w:sz w:val="18"/>
              </w:rPr>
              <w:t xml:space="preserve">HDB3, 75 Ом</w:t>
            </w:r>
          </w:p>
        </w:tc>
        <w:tc>
          <w:p>
            <w:r>
              <w:rPr>
                <w:sz w:val="18"/>
              </w:rPr>
              <w:t xml:space="preserve">HDB3, 75 Ом</w:t>
            </w:r>
          </w:p>
        </w:tc>
      </w:tr>
      <w:tr>
        <w:tc>
          <w:p>
            <w:r>
              <w:rPr>
                <w:sz w:val="18"/>
              </w:rPr>
              <w:t xml:space="preserve">Пиковое напряжение / длительность</w:t>
            </w:r>
          </w:p>
        </w:tc>
        <w:tc>
          <w:p>
            <w:r>
              <w:rPr>
                <w:sz w:val="18"/>
              </w:rPr>
              <w:t xml:space="preserve">2,37 В / 59 нс</w:t>
            </w:r>
          </w:p>
        </w:tc>
        <w:tc>
          <w:p>
            <w:r>
              <w:rPr>
                <w:sz w:val="18"/>
              </w:rPr>
              <w:t xml:space="preserve">1,0 В / 14,55 нс</w:t>
            </w:r>
          </w:p>
        </w:tc>
      </w:tr>
      <w:tr>
        <w:tc>
          <w:p>
            <w:r>
              <w:rPr>
                <w:sz w:val="18"/>
              </w:rPr>
              <w:t xml:space="preserve">Возвратные потери входа/выхода</w:t>
            </w:r>
          </w:p>
        </w:tc>
        <w:tc>
          <w:p>
            <w:r>
              <w:rPr>
                <w:sz w:val="18"/>
              </w:rPr>
              <w:t xml:space="preserve">≥18 дБ, 422–8448 кГц</w:t>
            </w:r>
          </w:p>
        </w:tc>
        <w:tc>
          <w:p>
            <w:r>
              <w:rPr>
                <w:sz w:val="18"/>
              </w:rPr>
              <w:t xml:space="preserve">≥18 дБ, 1720–34 368 кГц</w:t>
            </w:r>
          </w:p>
        </w:tc>
      </w:tr>
      <w:tr>
        <w:tc>
          <w:p>
            <w:r>
              <w:rPr>
                <w:sz w:val="18"/>
              </w:rPr>
              <w:t xml:space="preserve">Допустимое затухание кабеля</w:t>
            </w:r>
          </w:p>
        </w:tc>
        <w:tc>
          <w:p>
            <w:r>
              <w:rPr>
                <w:sz w:val="18"/>
              </w:rPr>
              <w:t xml:space="preserve">до 6 дБ на 4224 кГц</w:t>
            </w:r>
          </w:p>
        </w:tc>
        <w:tc>
          <w:p>
            <w:r>
              <w:rPr>
                <w:sz w:val="18"/>
              </w:rPr>
              <w:t xml:space="preserve">до 12 дБ на 17 184 кГц</w:t>
            </w:r>
          </w:p>
        </w:tc>
      </w:tr>
    </w:tbl>
    <w:p>
      <w:r>
        <w:rPr>
          <w:sz w:val="20"/>
        </w:rPr>
        <w:t xml:space="preserve"/>
      </w:r>
    </w:p>
    <w:p>
      <w:r>
        <w:rPr>
          <w:sz w:val="20"/>
        </w:rPr>
        <w:t xml:space="preserve">3.2.1. Для каждого порта предусмотреть трансформаторную гальваноразвязку и импульсную защиту. Проверка: инспекция схемы и испытание наличия защиты; критерии испытаний [уточнить]</w:t>
      </w:r>
    </w:p>
    <w:p>
      <w:r>
        <w:rPr>
          <w:sz w:val="20"/>
        </w:rPr>
        <w:t xml:space="preserve">3.2.2. Структура E2 должна соответствовать G.704, E3 — G.751; электрические параметры — G.703. Проверка: анализ применимых положений указанных документов и испытание; редакции [уточнить]</w:t>
      </w:r>
    </w:p>
    <w:p>
      <w:r>
        <w:rPr>
          <w:sz w:val="20"/>
        </w:rPr>
        <w:t xml:space="preserve">3.2.3. Значения скорости, напряжения, длительности, возвратных потерь и допустимого затухания должны соответствовать таблице. Проверка: измерение в режимах E2 и E3; средства, погрешности и методики [уточнить]</w:t>
      </w:r>
    </w:p>
    <w:p>
      <w:r>
        <w:rPr>
          <w:sz w:val="20"/>
        </w:rPr>
        <w:t xml:space="preserve">3.3 Пакетная передача, синхронизация и диагностика</w:t>
      </w:r>
    </w:p>
    <w:p>
      <w:r>
        <w:rPr>
          <w:sz w:val="20"/>
        </w:rPr>
        <w:t xml:space="preserve">3.3.1. E3 должен передаваться по SAToP согласно RFC 4553 как полный поток с управляющим словом и контролем последовательности. Проверка: анализ трафика и испытание E3; критерий — наличие полного потока, управляющего слова и контроля последовательности</w:t>
      </w:r>
    </w:p>
    <w:p>
      <w:r>
        <w:rPr>
          <w:sz w:val="20"/>
        </w:rPr>
        <w:t xml:space="preserve">3.3.2. E2 должен передаваться как E2oP на архитектуре SAToP как полный поток с минимальной фиксированной задержкой. Проверка: анализ трафика и измерение задержки; численное значение минимальной задержки [уточнить]</w:t>
      </w:r>
    </w:p>
    <w:p>
      <w:r>
        <w:rPr>
          <w:sz w:val="20"/>
        </w:rPr>
        <w:t xml:space="preserve">3.3.3. Среда передачи — Fabric 10GbE с Strict Priority QoS. Проверка: инспекция конфигурации Fabric и QoS; параметры профиля [уточнить]</w:t>
      </w:r>
    </w:p>
    <w:p>
      <w:r>
        <w:rPr>
          <w:sz w:val="20"/>
        </w:rPr>
        <w:t xml:space="preserve">3.3.4. Для каждого сервиса предусмотреть джиттер-буфер 1–64 мс. Проверка: измерение/испытание настройки буфера на границах 1 и 64 мс; методика [уточнить]</w:t>
      </w:r>
    </w:p>
    <w:p>
      <w:r>
        <w:rPr>
          <w:sz w:val="20"/>
        </w:rPr>
        <w:t xml:space="preserve">3.3.5. Потеря пакетов или авария сети должна вызывать непрерывный AIS на выходе. Проверка: тест с потерей пакетов и аварией сети; наблюдение непрерывного AIS на выходе</w:t>
      </w:r>
    </w:p>
    <w:p>
      <w:r>
        <w:rPr>
          <w:sz w:val="20"/>
        </w:rPr>
        <w:t xml:space="preserve">3.3.6. Обеспечить пересчёт TCLK 19,44 МГц в 8,448/34,368 МГц, ACR/DCR, Holdover и Loop timing. Проверка: функциональное испытание каждого режима; параметры переходов и критерии [уточнить]</w:t>
      </w:r>
    </w:p>
    <w:p>
      <w:r>
        <w:rPr>
          <w:sz w:val="20"/>
        </w:rPr>
        <w:t xml:space="preserve">3.3.7. Частоту любого входного порта выдавать в RX_CLK; ПЛИС/DPLL базовой платы должна преобразовывать её в 19,44 МГц для TCLK. Проверка: измерение RX_CLK и TCLK в каждом порту/режиме; допуски [уточнить]</w:t>
      </w:r>
    </w:p>
    <w:p>
      <w:r>
        <w:rPr>
          <w:sz w:val="20"/>
        </w:rPr>
        <w:t xml:space="preserve">3.3.8. Джиттер и вандер должны соответствовать G.823. Проверка: измерение по G.823; редакция, полоса и критерии [уточнить]</w:t>
      </w:r>
    </w:p>
    <w:p>
      <w:r>
        <w:rPr>
          <w:sz w:val="20"/>
        </w:rPr>
        <w:t xml:space="preserve">3.3.9. Контролировать LOS, AIS, BPV/CV HDB3 и переполнение/опустошение буфера. Проверка: ввод соответствующих состояний и наблюдение диагностических признаков</w:t>
      </w:r>
    </w:p>
    <w:p>
      <w:r>
        <w:rPr>
          <w:sz w:val="20"/>
        </w:rPr>
        <w:t xml:space="preserve">3.3.10. Для каждого порта реализовать Local Line, Payload и Packet Loopback. Проверка: включение каждой петли на каждом порту и наблюдение результата; критерии [уточнить]</w:t>
      </w:r>
    </w:p>
    <w:p>
      <w:r>
        <w:rPr>
          <w:sz w:val="20"/>
        </w:rPr>
        <w:t xml:space="preserve">3.3.11. Предусмотреть генератор/анализатор PRBS 2^23−1 для измерения BER. Проверка: инспекция и испытание PRBS; критерий BER и длительность измерения [уточнить]</w:t>
      </w:r>
    </w:p>
    <w:p>
      <w:r>
        <w:rPr>
          <w:sz w:val="20"/>
        </w:rPr>
        <w:t xml:space="preserve">3.4 Мощность, конструкция, стойкость и срок службы</w:t>
      </w:r>
    </w:p>
    <w:p>
      <w:r>
        <w:rPr>
          <w:sz w:val="20"/>
        </w:rPr>
        <w:t xml:space="preserve">3.4.1. Мощность субплаты — не более 15 Вт; сборки — не более 35 Вт. Проверка: измерение потребляемой мощности; режимы и погрешность [уточнить]</w:t>
      </w:r>
    </w:p>
    <w:p>
      <w:r>
        <w:rPr>
          <w:sz w:val="20"/>
        </w:rPr>
        <w:t xml:space="preserve">3.4.2. Конструкция — Single Full-size AMC.0, габариты 73,5 × 180,6 × 28,95 мм. Проверка: инспекция и измерение габаритов</w:t>
      </w:r>
    </w:p>
    <w:p>
      <w:r>
        <w:rPr>
          <w:sz w:val="20"/>
        </w:rPr>
        <w:t xml:space="preserve">3.4.3. Межплатное крепление выполнить на 4–6 металлических стойках М2,5. Проверка: инспекция конструкции и количества стоек</w:t>
      </w:r>
    </w:p>
    <w:p>
      <w:r>
        <w:rPr>
          <w:sz w:val="20"/>
        </w:rPr>
        <w:t xml:space="preserve">3.4.4. Стойкость — по ГОСТ РВ 20.39.304-98, группы 1.1, 1.3, 1.4.1, исполнение «О». Проверка: анализ документации и испытания по применимым положениям; программа испытаний [уточнить]</w:t>
      </w:r>
    </w:p>
    <w:p>
      <w:r>
        <w:rPr>
          <w:sz w:val="20"/>
        </w:rPr>
        <w:t xml:space="preserve">3.4.5. Рабочая температура — −10…+50 °C; предельная — −40…+65 °C. Проверка: испытание в заданных диапазонах; продолжительность и критерии [уточнить]</w:t>
      </w:r>
    </w:p>
    <w:p>
      <w:r>
        <w:rPr>
          <w:sz w:val="20"/>
        </w:rPr>
        <w:t xml:space="preserve">3.4.6. Синусоидальная вибрация — 5g; удары — 15g. Проверка: испытание механическими воздействиями; профиль и критерии [уточнить]</w:t>
      </w:r>
    </w:p>
    <w:p>
      <w:r>
        <w:rPr>
          <w:sz w:val="20"/>
        </w:rPr>
        <w:t xml:space="preserve">3.4.7. Радиопомехи — группа 1.1.1 ГОСТ В 25803-91. Проверка: испытание по указанному документу; редакция и критерии [уточнить]</w:t>
      </w:r>
    </w:p>
    <w:p>
      <w:r>
        <w:rPr>
          <w:sz w:val="20"/>
        </w:rPr>
        <w:t xml:space="preserve">3.4.8. MTBF — не менее 15 000 ч; назначенный срок службы — не менее 5 лет. Проверка: анализ расчёта/подтверждающих документов; методика оценки [уточнить]</w:t>
      </w:r>
    </w:p>
    <w:p>
      <w:r>
        <w:rPr>
          <w:b/>
          <w:sz w:val="20"/>
        </w:rPr>
        <w:t xml:space="preserve">4 Технико-экономические требования</w:t>
      </w:r>
    </w:p>
    <w:p>
      <w:r>
        <w:rPr>
          <w:sz w:val="20"/>
        </w:rPr>
        <w:t xml:space="preserve">4.1. Технико-экономические требования не предъявляются. Проверка: инспекция ТЗ</w:t>
      </w:r>
    </w:p>
    <w:p>
      <w:r>
        <w:rPr>
          <w:b/>
          <w:sz w:val="20"/>
        </w:rPr>
        <w:t xml:space="preserve">5 Требования к видам обеспечения</w:t>
      </w:r>
    </w:p>
    <w:p>
      <w:r>
        <w:rPr>
          <w:sz w:val="20"/>
        </w:rPr>
        <w:t xml:space="preserve">5.1 Нормативное обеспечение</w:t>
      </w:r>
    </w:p>
    <w:p>
      <w:r>
        <w:rPr>
          <w:sz w:val="20"/>
        </w:rPr>
        <w:t xml:space="preserve">5.1.1. Нормативное обеспечение должно включать документы, перечисленные в перечне применимых нормативных и справочных документов настоящего ТЗ. Проверка: инспекция перечня и комплекта документации</w:t>
      </w:r>
    </w:p>
    <w:p>
      <w:r>
        <w:rPr>
          <w:sz w:val="20"/>
        </w:rPr>
        <w:t xml:space="preserve">5.2 Метрологическое обеспечение</w:t>
      </w:r>
    </w:p>
    <w:p>
      <w:r>
        <w:rPr>
          <w:sz w:val="20"/>
        </w:rPr>
        <w:t xml:space="preserve">5.2.1. Предусмотреть средства и методики измерения формы и амплитуды импульсов по G.703, возвратных потерь 75 Ом, джиттера по G.823 и BER. Проверка: инспекция средств и методик; незаданные типы средств, погрешности и допуски — [уточнить]</w:t>
      </w:r>
    </w:p>
    <w:p>
      <w:r>
        <w:rPr>
          <w:sz w:val="20"/>
        </w:rPr>
        <w:t xml:space="preserve">5.3 Диагностическое обеспечение</w:t>
      </w:r>
    </w:p>
    <w:p>
      <w:r>
        <w:rPr>
          <w:sz w:val="20"/>
        </w:rPr>
        <w:t xml:space="preserve">5.3.1. Обеспечить регистрацию LOS/AIS и BPV, формирование сообщений и отчётов для РМО. Проверка: подача диагностических событий и инспекция записей, сообщений и отчётов</w:t>
      </w:r>
    </w:p>
    <w:p>
      <w:r>
        <w:rPr>
          <w:sz w:val="20"/>
        </w:rPr>
        <w:t xml:space="preserve">5.4 Программное и информационно-лингвистическое обеспечение</w:t>
      </w:r>
    </w:p>
    <w:p>
      <w:r>
        <w:rPr>
          <w:sz w:val="20"/>
        </w:rPr>
        <w:t xml:space="preserve">5.4.1. Разработать bitstream функционального модуля для Flash базовой платы, драйверы Linux и MIB для РМО. Проверка: инспекция поставки и функциональное испытание загрузки/драйверов/MIB; версии и интерфейсы [уточнить]</w:t>
      </w:r>
    </w:p>
    <w:p>
      <w:r>
        <w:rPr>
          <w:b/>
          <w:sz w:val="20"/>
        </w:rPr>
        <w:t xml:space="preserve">6 Требования к сырью, материалам и комплектующим изделиям</w:t>
      </w:r>
    </w:p>
    <w:p>
      <w:r>
        <w:rPr>
          <w:sz w:val="20"/>
        </w:rPr>
        <w:t xml:space="preserve">6.1. Предусмотреть приоритет отечественных материалов и комплектующих с приёмкой ОТК. Проверка: инспекция спецификаций и документов приёмки ОТК</w:t>
      </w:r>
    </w:p>
    <w:p>
      <w:r>
        <w:rPr>
          <w:sz w:val="20"/>
        </w:rPr>
        <w:t xml:space="preserve">6.2. При отсутствии аналогов разрешить импортную ЭКБ промышленного температурного диапазона. Проверка: анализ обоснования отсутствия аналогов и спецификаций ЭКБ; перечень [уточнить]</w:t>
      </w:r>
    </w:p>
    <w:p>
      <w:r>
        <w:rPr>
          <w:b/>
          <w:sz w:val="20"/>
        </w:rPr>
        <w:t xml:space="preserve">7 Требования к консервации, упаковке и маркировке</w:t>
      </w:r>
    </w:p>
    <w:p>
      <w:r>
        <w:rPr>
          <w:sz w:val="20"/>
        </w:rPr>
        <w:t xml:space="preserve">7.1. Предусмотреть децимальный и серийный номера, ревизию и маркировку E2-1, E2-2, E3-1. Проверка: инспекция маркировки изделия, упаковки и документации</w:t>
      </w:r>
    </w:p>
    <w:p>
      <w:r>
        <w:rPr>
          <w:sz w:val="20"/>
        </w:rPr>
        <w:t xml:space="preserve">7.2. Применять индивидуальную тару с ESD-защитой. Проверка: инспекция тары и ESD-защиты</w:t>
      </w:r>
    </w:p>
    <w:p>
      <w:r>
        <w:rPr>
          <w:sz w:val="20"/>
        </w:rPr>
        <w:t xml:space="preserve">7.3. Хранение в заводской таре — не менее 1 года по ГОСТ 15150. Проверка: анализ условий и испытание/проверка хранения по ГОСТ 15150; конкретные условия [уточнить]</w:t>
      </w:r>
    </w:p>
    <w:p>
      <w:r>
        <w:rPr>
          <w:sz w:val="20"/>
        </w:rPr>
        <w:t xml:space="preserve">Примечание. Условия консервации, не заданные исходными данными, не дополняются.</w:t>
      </w:r>
    </w:p>
    <w:p>
      <w:r>
        <w:rPr>
          <w:b/>
          <w:sz w:val="20"/>
        </w:rPr>
        <w:t xml:space="preserve">8 Специальные требования</w:t>
      </w:r>
    </w:p>
    <w:p>
      <w:r>
        <w:rPr>
          <w:sz w:val="20"/>
        </w:rPr>
        <w:t xml:space="preserve">8.1. Телеметрия РМО (C++/Qt) должна содержать мнемосхему портов, LOS/AIS, BPV, SAToP/E2oP и источник тактирования. Проверка: инспекция интерфейса телеметрии и демонстрация отображения заданных признаков</w:t>
      </w:r>
    </w:p>
    <w:p>
      <w:r>
        <w:rPr>
          <w:sz w:val="20"/>
        </w:rPr>
        <w:t xml:space="preserve">8.2. Предусмотреть команды включения/отключения передатчиков, настройки джиттер-буфера, петель и PRBS. Проверка: испытание каждой команды в соответствующем режиме; критерии реакции [уточнить]</w:t>
      </w:r>
    </w:p>
    <w:p>
      <w:r>
        <w:br w:type="page"/>
      </w:r>
    </w:p>
    <w:p>
      <w:r>
        <w:rPr>
          <w:b/>
          <w:sz w:val="20"/>
        </w:rPr>
        <w:t xml:space="preserve">ПОДПИСИ РАЗРАБОТЧИКОВ ТЗ И СОГЛАСУЮЩИХ ОРГАНИЗАЦИЙ</w:t>
      </w:r>
    </w:p>
    <w:tbl>
      <w:tblPr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p>
            <w:r>
              <w:rPr>
                <w:b/>
                <w:sz w:val="18"/>
              </w:rPr>
              <w:t xml:space="preserve">Роль / организация</w:t>
            </w:r>
          </w:p>
        </w:tc>
        <w:tc>
          <w:p>
            <w:r>
              <w:rPr>
                <w:b/>
                <w:sz w:val="18"/>
              </w:rPr>
              <w:t xml:space="preserve">Должность</w:t>
            </w:r>
          </w:p>
        </w:tc>
        <w:tc>
          <w:p>
            <w:r>
              <w:rPr>
                <w:b/>
                <w:sz w:val="18"/>
              </w:rPr>
              <w:t xml:space="preserve">Подпись, инициалы, фамилия</w:t>
            </w:r>
          </w:p>
        </w:tc>
        <w:tc>
          <w:p>
            <w:r>
              <w:rPr>
                <w:b/>
                <w:sz w:val="18"/>
              </w:rPr>
              <w:t xml:space="preserve">Дата</w:t>
            </w:r>
          </w:p>
        </w:tc>
      </w:tr>
      <w:tr>
        <w:tc>
          <w:p>
            <w:r>
              <w:rPr>
                <w:sz w:val="18"/>
              </w:rPr>
              <w:t xml:space="preserve">Разработчик ТЗ — ООО «тушканчик»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Головной исполнитель ОКР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Заказчик (НИО заказчика)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  <w:tr>
        <w:tc>
          <w:p>
            <w:r>
              <w:rPr>
                <w:sz w:val="18"/>
              </w:rPr>
              <w:t xml:space="preserve">Другие согласующие организации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  <w:tc>
          <w:p>
            <w:r>
              <w:rPr>
                <w:sz w:val="18"/>
              </w:rPr>
              <w:t xml:space="preserve">[уточнить]</w:t>
            </w:r>
          </w:p>
        </w:tc>
      </w:tr>
    </w:tbl>
    <w:p>
      <w:r>
        <w:rPr>
          <w:sz w:val="20"/>
        </w:rPr>
        <w:t xml:space="preserve"/>
      </w:r>
    </w:p>
    <w:p>
      <w:r>
        <w:rPr>
          <w:sz w:val="20"/>
        </w:rPr>
        <w:t xml:space="preserve">Примечание. Подписи, ФИО, должности, даты, номер и дата приказа, регистрационный номер и иные незаданные реквизиты оставлены как [уточнить].</w:t>
      </w:r>
    </w:p>
    <w:sectPr>
      <w:pgSz w:w="11906" w:h="16838"/>
      <w:pgMar w:top="1134" w:right="850" w:bottom="1134" w:left="1417"/>
    </w:sectPr>
  </w:body>
</w:document>
</file>