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jc w:val="center"/>
            </w:pPr>
            <w:r>
              <w:rPr/>
              <w:t xml:space="preserve">СОГЛАСОВАНО</w:t>
              <w:br/>
              <w:t xml:space="preserve">[должность, заказчик (НИО заказчика) — уточнить]</w:t>
              <w:br/>
              <w:t xml:space="preserve">__________ [ФИО — уточнить]</w:t>
              <w:br/>
              <w:t xml:space="preserve">«___» __________ 20__ г.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СОГЛАСОВАНО</w:t>
              <w:br/>
              <w:t xml:space="preserve">[должность, исполнитель составной части ОКР — уточнить]</w:t>
              <w:br/>
              <w:t xml:space="preserve">ООО «тушканчик»</w:t>
              <w:br/>
              <w:t xml:space="preserve">__________ [ФИО — уточнить]</w:t>
              <w:br/>
              <w:t xml:space="preserve">«___» __________ 20__ г.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УТВЕРЖДАЮ</w:t>
              <w:br/>
              <w:t xml:space="preserve">[должность, головной исполнитель ОКР — уточнить]</w:t>
              <w:br/>
              <w:t xml:space="preserve">__________ [ФИО — уточнить]</w:t>
              <w:br/>
              <w:t xml:space="preserve">«___» __________ 20__ г.</w:t>
            </w:r>
          </w:p>
        </w:tc>
      </w:tr>
    </w:tbl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center"/>
      </w:pPr>
      <w:r>
        <w:rPr>
          <w:b/>
        </w:rPr>
        <w:t xml:space="preserve">ТЕХНИЧЕСКОЕ ЗАДАНИЕ</w:t>
      </w:r>
    </w:p>
    <w:p>
      <w:pPr>
        <w:jc w:val="center"/>
      </w:pP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</w:pPr>
      <w:r>
        <w:rPr/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</w:pPr>
      <w:r>
        <w:rPr>
          <w:b/>
        </w:rPr>
        <w:t xml:space="preserve">Шифр ОКР «Развитие-ТСА»</w:t>
      </w:r>
    </w:p>
    <w:p>
      <w:pPr>
        <w:jc w:val="center"/>
      </w:pPr>
      <w:r>
        <w:rPr/>
        <w:t xml:space="preserve">Обозначение составной части изделия: [уточнить]</w:t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both"/>
      </w:pPr>
      <w:r>
        <w:rPr/>
        <w:t xml:space="preserve"/>
      </w:r>
    </w:p>
    <w:p>
      <w:pPr>
        <w:jc w:val="center"/>
      </w:pPr>
      <w:r>
        <w:rPr/>
        <w:t xml:space="preserve">Регистрационный номер: [уточнить]</w:t>
      </w:r>
    </w:p>
    <w:p>
      <w:pPr>
        <w:jc w:val="center"/>
      </w:pPr>
      <w:r>
        <w:rPr/>
        <w:t xml:space="preserve">2026</w:t>
      </w:r>
    </w:p>
    <w:p>
      <w:r>
        <w:br w:type="page"/>
      </w:r>
    </w:p>
    <w:p>
      <w:pPr>
        <w:pStyle w:val="Heading1"/>
      </w:pPr>
      <w:r>
        <w:rPr/>
        <w:t xml:space="preserve">ЛИСТ СОГЛАСОВАНИЯ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Организация, подразделение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Подпись, ФИО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Заказчик (НИО заказчика):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__________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Исполнитель составной части ОКР: ООО «тушканчик»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__________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Головной исполнитель ОКР: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__________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Другие согласующие организации: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__________ [уточнить]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/>
              <w:t xml:space="preserve">[уточнить]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ПЕРЕЧЕНЬ ОБОЗНАЧЕНИЙ И СОКРАЩЕНИЙ</w:t>
      </w:r>
    </w:p>
    <w:p>
      <w:pPr>
        <w:pStyle w:val="Req"/>
      </w:pPr>
      <w:r>
        <w:rPr/>
        <w:t xml:space="preserve">ACR — Adaptive Clock Recovery; восстановление тактовой частоты адаптивным методом.</w:t>
      </w:r>
    </w:p>
    <w:p>
      <w:pPr>
        <w:pStyle w:val="Req"/>
      </w:pPr>
      <w:r>
        <w:rPr/>
        <w:t xml:space="preserve">AIS — Alarm Indication Signal; сигнал индикации аварии.</w:t>
      </w:r>
    </w:p>
    <w:p>
      <w:pPr>
        <w:pStyle w:val="Req"/>
      </w:pPr>
      <w:r>
        <w:rPr/>
        <w:t xml:space="preserve">AMC — Advanced Mezzanine Card; модуль форм-фактора, регламентированного PICMG AMC.0 R2.0.</w:t>
      </w:r>
    </w:p>
    <w:p>
      <w:pPr>
        <w:pStyle w:val="Req"/>
      </w:pPr>
      <w:r>
        <w:rPr/>
        <w:t xml:space="preserve">B2B — Board-to-Board; межплатное соединение.</w:t>
      </w:r>
    </w:p>
    <w:p>
      <w:pPr>
        <w:pStyle w:val="Req"/>
      </w:pPr>
      <w:r>
        <w:rPr/>
        <w:t xml:space="preserve">BER — Bit Error Rate; коэффициент ошибок по битам.</w:t>
      </w:r>
    </w:p>
    <w:p>
      <w:pPr>
        <w:pStyle w:val="Req"/>
      </w:pPr>
      <w:r>
        <w:rPr/>
        <w:t xml:space="preserve">Board ID — Идентификатор субплаты, хранимый в EEPROM.</w:t>
      </w:r>
    </w:p>
    <w:p>
      <w:pPr>
        <w:pStyle w:val="Req"/>
      </w:pPr>
      <w:r>
        <w:rPr/>
        <w:t xml:space="preserve">BNC — Тип коаксиального соединителя.</w:t>
      </w:r>
    </w:p>
    <w:p>
      <w:pPr>
        <w:pStyle w:val="Req"/>
      </w:pPr>
      <w:r>
        <w:rPr/>
        <w:t xml:space="preserve">BPV/CV — Bipolar Violation / Code Violation; нарушения биполярности / кода.</w:t>
      </w:r>
    </w:p>
    <w:p>
      <w:pPr>
        <w:pStyle w:val="Req"/>
      </w:pPr>
      <w:r>
        <w:rPr/>
        <w:t xml:space="preserve">DCR — Differential Clock Recovery; дифференциальное восстановление тактовой частоты.</w:t>
      </w:r>
    </w:p>
    <w:p>
      <w:pPr>
        <w:pStyle w:val="Req"/>
      </w:pPr>
      <w:r>
        <w:rPr/>
        <w:t xml:space="preserve">DPLL — Цифровая система фазовой автоподстройки частоты.</w:t>
      </w:r>
    </w:p>
    <w:p>
      <w:pPr>
        <w:pStyle w:val="Req"/>
      </w:pPr>
      <w:r>
        <w:rPr/>
        <w:t xml:space="preserve">EEPROM — Электрически стираемое программируемое постоянное запоминающее устройство.</w:t>
      </w:r>
    </w:p>
    <w:p>
      <w:pPr>
        <w:pStyle w:val="Req"/>
      </w:pPr>
      <w:r>
        <w:rPr/>
        <w:t xml:space="preserve">ESD — Electrostatic Discharge; электростатический разряд.</w:t>
      </w:r>
    </w:p>
    <w:p>
      <w:pPr>
        <w:pStyle w:val="Req"/>
      </w:pPr>
      <w:r>
        <w:rPr/>
        <w:t xml:space="preserve">HDB3 — High Density Bipolar of order 3; линейный код.</w:t>
      </w:r>
    </w:p>
    <w:p>
      <w:pPr>
        <w:pStyle w:val="Req"/>
      </w:pPr>
      <w:r>
        <w:rPr/>
        <w:t xml:space="preserve">LIU — Line Interface Unit; устройство линейного интерфейса.</w:t>
      </w:r>
    </w:p>
    <w:p>
      <w:pPr>
        <w:pStyle w:val="Req"/>
      </w:pPr>
      <w:r>
        <w:rPr/>
        <w:t xml:space="preserve">LOS — Loss of Signal; потеря сигнала.</w:t>
      </w:r>
    </w:p>
    <w:p>
      <w:pPr>
        <w:pStyle w:val="Req"/>
      </w:pPr>
      <w:r>
        <w:rPr/>
        <w:t xml:space="preserve">MIB — Management Information Base; база управляющей информации.</w:t>
      </w:r>
    </w:p>
    <w:p>
      <w:pPr>
        <w:pStyle w:val="Req"/>
      </w:pPr>
      <w:r>
        <w:rPr/>
        <w:t xml:space="preserve">MMC — Module Management Controller; контроллер управления модулем.</w:t>
      </w:r>
    </w:p>
    <w:p>
      <w:pPr>
        <w:pStyle w:val="Req"/>
      </w:pPr>
      <w:r>
        <w:rPr/>
        <w:t xml:space="preserve">PDH — Plesiochronous Digital Hierarchy; плезиохронная цифровая иерархия.</w:t>
      </w:r>
    </w:p>
    <w:p>
      <w:pPr>
        <w:pStyle w:val="Req"/>
      </w:pPr>
      <w:r>
        <w:rPr/>
        <w:t xml:space="preserve">PRBS — Pseudo-Random Binary Sequence; псевдослучайная двоичная последовательность.</w:t>
      </w:r>
    </w:p>
    <w:p>
      <w:pPr>
        <w:pStyle w:val="Req"/>
      </w:pPr>
      <w:r>
        <w:rPr/>
        <w:t xml:space="preserve">QoS — Quality of Service; качество обслуживания.</w:t>
      </w:r>
    </w:p>
    <w:p>
      <w:pPr>
        <w:pStyle w:val="Req"/>
      </w:pPr>
      <w:r>
        <w:rPr/>
        <w:t xml:space="preserve">RX — Приём.</w:t>
      </w:r>
    </w:p>
    <w:p>
      <w:pPr>
        <w:pStyle w:val="Req"/>
      </w:pPr>
      <w:r>
        <w:rPr/>
        <w:t xml:space="preserve">SAToP — Structure-Agnostic TDM over Packet; передача полного TDM-потока через пакетную сеть без учёта структуры.</w:t>
      </w:r>
    </w:p>
    <w:p>
      <w:pPr>
        <w:pStyle w:val="Req"/>
      </w:pPr>
      <w:r>
        <w:rPr/>
        <w:t xml:space="preserve">TCLK — Тактовый сигнал 19,44 МГц базовой платы.</w:t>
      </w:r>
    </w:p>
    <w:p>
      <w:pPr>
        <w:pStyle w:val="Req"/>
      </w:pPr>
      <w:r>
        <w:rPr/>
        <w:t xml:space="preserve">TDM-over-Packet — Передача потоков с временным разделением каналов через пакетную сеть.</w:t>
      </w:r>
    </w:p>
    <w:p>
      <w:pPr>
        <w:pStyle w:val="Req"/>
      </w:pPr>
      <w:r>
        <w:rPr/>
        <w:t xml:space="preserve">TX — Передача.</w:t>
      </w:r>
    </w:p>
    <w:p>
      <w:pPr>
        <w:pStyle w:val="Req"/>
      </w:pPr>
      <w:r>
        <w:rPr/>
        <w:t xml:space="preserve">ДММП — Семейство платформы и универсального базового модуля; расширение в исходных данных не задано.</w:t>
      </w:r>
    </w:p>
    <w:p>
      <w:pPr>
        <w:pStyle w:val="Req"/>
      </w:pPr>
      <w:r>
        <w:rPr/>
        <w:t xml:space="preserve">КИМП — Комплектующие изделия межотраслевого применения.</w:t>
      </w:r>
    </w:p>
    <w:p>
      <w:pPr>
        <w:pStyle w:val="Req"/>
      </w:pPr>
      <w:r>
        <w:rPr/>
        <w:t xml:space="preserve">ОКР — Опытно-конструкторская работа.</w:t>
      </w:r>
    </w:p>
    <w:p>
      <w:pPr>
        <w:pStyle w:val="Req"/>
      </w:pPr>
      <w:r>
        <w:rPr/>
        <w:t xml:space="preserve">ОТК — Отдел технического контроля.</w:t>
      </w:r>
    </w:p>
    <w:p>
      <w:pPr>
        <w:pStyle w:val="Req"/>
      </w:pPr>
      <w:r>
        <w:rPr/>
        <w:t xml:space="preserve">ПЛИС — Программируемая логическая интегральная схема.</w:t>
      </w:r>
    </w:p>
    <w:p>
      <w:pPr>
        <w:pStyle w:val="Req"/>
      </w:pPr>
      <w:r>
        <w:rPr/>
        <w:t xml:space="preserve">ПМИ — Программа и методика испытаний.</w:t>
      </w:r>
    </w:p>
    <w:p>
      <w:pPr>
        <w:pStyle w:val="Req"/>
      </w:pPr>
      <w:r>
        <w:rPr/>
        <w:t xml:space="preserve">РКД — Рабочая конструкторская документация.</w:t>
      </w:r>
    </w:p>
    <w:p>
      <w:pPr>
        <w:pStyle w:val="Req"/>
      </w:pPr>
      <w:r>
        <w:rPr/>
        <w:t xml:space="preserve">РМО — Рабочее место оператора.</w:t>
      </w:r>
    </w:p>
    <w:p>
      <w:pPr>
        <w:pStyle w:val="Req"/>
      </w:pPr>
      <w:r>
        <w:rPr/>
        <w:t xml:space="preserve">ЭКБ — Электронная компонентная база.</w:t>
      </w:r>
    </w:p>
    <w:p>
      <w:r>
        <w:br w:type="page"/>
      </w:r>
    </w:p>
    <w:p>
      <w:pPr>
        <w:pStyle w:val="Heading1"/>
      </w:pPr>
      <w:r>
        <w:rPr/>
        <w:t xml:space="preserve">ПЕРЕЧЕНЬ ПРИМЕНИМЫХ НОРМАТИВНЫХ И СПРАВОЧНЫХ ДОКУМЕНТОВ</w:t>
      </w:r>
    </w:p>
    <w:p>
      <w:pPr>
        <w:pStyle w:val="Req"/>
      </w:pPr>
      <w:r>
        <w:rPr/>
        <w:t xml:space="preserve">— ГОСТ 15.016-2016</w:t>
      </w:r>
    </w:p>
    <w:p>
      <w:pPr>
        <w:pStyle w:val="Req"/>
      </w:pPr>
      <w:r>
        <w:rPr/>
        <w:t xml:space="preserve">— ГОСТ 2.114-2016</w:t>
      </w:r>
    </w:p>
    <w:p>
      <w:pPr>
        <w:pStyle w:val="Req"/>
      </w:pPr>
      <w:r>
        <w:rPr/>
        <w:t xml:space="preserve">— ГОСТ РВ 15.201-2003</w:t>
      </w:r>
    </w:p>
    <w:p>
      <w:pPr>
        <w:pStyle w:val="Req"/>
      </w:pPr>
      <w:r>
        <w:rPr/>
        <w:t xml:space="preserve">— ГОСТ РВ 20.39.304-98</w:t>
      </w:r>
    </w:p>
    <w:p>
      <w:pPr>
        <w:pStyle w:val="Req"/>
      </w:pPr>
      <w:r>
        <w:rPr/>
        <w:t xml:space="preserve">— ГОСТ В 25803-91</w:t>
      </w:r>
    </w:p>
    <w:p>
      <w:pPr>
        <w:pStyle w:val="Req"/>
      </w:pPr>
      <w:r>
        <w:rPr/>
        <w:t xml:space="preserve">— ГОСТ 15150</w:t>
      </w:r>
    </w:p>
    <w:p>
      <w:pPr>
        <w:pStyle w:val="Req"/>
      </w:pPr>
      <w:r>
        <w:rPr/>
        <w:t xml:space="preserve">— ITU-T G.703</w:t>
      </w:r>
    </w:p>
    <w:p>
      <w:pPr>
        <w:pStyle w:val="Req"/>
      </w:pPr>
      <w:r>
        <w:rPr/>
        <w:t xml:space="preserve">— ITU-T G.704</w:t>
      </w:r>
    </w:p>
    <w:p>
      <w:pPr>
        <w:pStyle w:val="Req"/>
      </w:pPr>
      <w:r>
        <w:rPr/>
        <w:t xml:space="preserve">— ITU-T G.751</w:t>
      </w:r>
    </w:p>
    <w:p>
      <w:pPr>
        <w:pStyle w:val="Req"/>
      </w:pPr>
      <w:r>
        <w:rPr/>
        <w:t xml:space="preserve">— ITU-T G.823</w:t>
      </w:r>
    </w:p>
    <w:p>
      <w:pPr>
        <w:pStyle w:val="Req"/>
      </w:pPr>
      <w:r>
        <w:rPr/>
        <w:t xml:space="preserve">— RFC 4553</w:t>
      </w:r>
    </w:p>
    <w:p>
      <w:pPr>
        <w:pStyle w:val="Req"/>
      </w:pPr>
      <w:r>
        <w:rPr/>
        <w:t xml:space="preserve">— PICMG AMC.0 R2.0</w:t>
      </w:r>
    </w:p>
    <w:p>
      <w:pPr>
        <w:jc w:val="both"/>
      </w:pPr>
      <w:r>
        <w:rPr/>
        <w:t xml:space="preserve">Примечание — Наименования документов, их редакции и сведения об изменениях в исходных данных не приведены; применимость конкретных положений, кроме ГОСТ 15.016-2016, подлежит подтверждению при разработке РКД и ПМИ.</w:t>
      </w:r>
    </w:p>
    <w:p>
      <w:r>
        <w:br w:type="page"/>
      </w:r>
    </w:p>
    <w:p>
      <w:pPr>
        <w:pStyle w:val="Heading1"/>
      </w:pPr>
      <w:r>
        <w:rPr/>
        <w:t xml:space="preserve">1 Наименование, шифр, основание, исполнители и сроки ОКР</w:t>
      </w:r>
    </w:p>
    <w:p>
      <w:pPr>
        <w:pStyle w:val="Req"/>
      </w:pPr>
      <w:r>
        <w:rPr/>
        <w:t xml:space="preserve">1.1 Наименование составной части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pStyle w:val="Req"/>
      </w:pPr>
      <w:r>
        <w:rPr/>
        <w:t xml:space="preserve">1.2 Шифр ОКР — «Развитие-ТСА».</w:t>
      </w:r>
    </w:p>
    <w:p>
      <w:pPr>
        <w:pStyle w:val="Req"/>
      </w:pPr>
      <w:r>
        <w:rPr/>
        <w:t xml:space="preserve">1.3 Основание выполнения работы — приказ об открытии инициативной ОКР № [уточнить] от [уточнить].</w:t>
      </w:r>
    </w:p>
    <w:p>
      <w:pPr>
        <w:pStyle w:val="Req"/>
      </w:pPr>
      <w:r>
        <w:rPr/>
        <w:t xml:space="preserve">1.4 Исполнитель составной части ОКР — ООО «тушканчик». Головной исполнитель ОКР — [уточнить]. Заказчик (НИО заказчика) — [уточнить].</w:t>
      </w:r>
    </w:p>
    <w:p>
      <w:pPr>
        <w:pStyle w:val="Req"/>
      </w:pPr>
      <w:r>
        <w:rPr/>
        <w:t xml:space="preserve">1.5 Сроки разработки РКД и программной документации, изготовления образцов и проведения испытаний должны соответствовать утверждённому плану-графику. Календарные даты утверждения и выполнения — [уточнить].</w:t>
      </w:r>
    </w:p>
    <w:p>
      <w:pPr>
        <w:pStyle w:val="Heading1"/>
      </w:pPr>
      <w:r>
        <w:rPr/>
        <w:t xml:space="preserve">2 Цель выполнения, наименование, назначение и область применения изделия</w:t>
      </w:r>
    </w:p>
    <w:p>
      <w:pPr>
        <w:pStyle w:val="Req"/>
      </w:pPr>
      <w:r>
        <w:rPr/>
        <w:t xml:space="preserve">2.1 Цель работы — подключение двух независимых потоков E2 и одного потока E3 к платформе ДММП по коаксиальным линиям с обеспечением TDM-over-Packet, джиттер-буферизации и синхронизации.</w:t>
      </w:r>
    </w:p>
    <w:p>
      <w:pPr>
        <w:pStyle w:val="Req"/>
      </w:pPr>
      <w:r>
        <w:rPr/>
        <w:t xml:space="preserve">2.2 Изделие предназначено для применения на PDH-трактах 8 и 34 Мбит/с энергетики, железнодорожного транспорта и магистральных операторов.</w:t>
      </w:r>
    </w:p>
    <w:p>
      <w:pPr>
        <w:pStyle w:val="Req"/>
      </w:pPr>
      <w:r>
        <w:rPr/>
        <w:t xml:space="preserve">2.3 Аппаратная часть изделия должна включать сменную субплату, линейные интерфейсы и защиту, трансиверы и EEPROM Board ID. Логическая часть должна быть реализована функциональным модулем ПЛИС базовой платы и автоматически активироваться по Board ID.</w:t>
      </w:r>
    </w:p>
    <w:p>
      <w:pPr>
        <w:pStyle w:val="Req"/>
      </w:pPr>
      <w:r>
        <w:rPr/>
        <w:t xml:space="preserve">2.4 AMC с установленной субплатой должна устанавливаться на Carrier платформы ДММП.</w:t>
      </w:r>
    </w:p>
    <w:p>
      <w:pPr>
        <w:pStyle w:val="Heading1"/>
      </w:pPr>
      <w:r>
        <w:rPr/>
        <w:t xml:space="preserve">3 Технические требования к изделию</w:t>
      </w:r>
    </w:p>
    <w:p>
      <w:pPr>
        <w:pStyle w:val="Heading2"/>
      </w:pPr>
      <w:r>
        <w:rPr/>
        <w:t xml:space="preserve">3.1 Архитектура, разъёмы и кабели</w:t>
      </w:r>
    </w:p>
    <w:p>
      <w:pPr>
        <w:pStyle w:val="Req"/>
      </w:pPr>
      <w:r>
        <w:rPr/>
        <w:t xml:space="preserve">3.1.1 Субплата должна соединяться с базовой платой через B2B и содержать три экранированных вибростойких разъёма HARTING PushPull 09452812560 с замковой фиксацией, тракты 75 Ом, ВЧ-трансформаторы, LIU, EEPROM с Board ID 0x03 и светодиоды.</w:t>
      </w:r>
    </w:p>
    <w:p>
      <w:pPr>
        <w:pStyle w:val="Req"/>
      </w:pPr>
      <w:r>
        <w:rPr/>
        <w:t xml:space="preserve">3.1.2 Базовая плата должна предоставлять субплате напряжения +12 В и +3,3 В, функции MMC и тактирование, а также автоматически загружать bitstream PDH из Flash при распознавании Board ID 0x03.</w:t>
      </w:r>
    </w:p>
    <w:p>
      <w:pPr>
        <w:pStyle w:val="Req"/>
      </w:pPr>
      <w:r>
        <w:rPr/>
        <w:t xml:space="preserve">3.1.3 Разъёмы E2-1, E2-2 и E3-1 должны обслуживать отдельные коаксиальные цепи TX и RX с волновым сопротивлением 75 Ом.</w:t>
      </w:r>
    </w:p>
    <w:p>
      <w:pPr>
        <w:pStyle w:val="Req"/>
      </w:pPr>
      <w:r>
        <w:rPr/>
        <w:t xml:space="preserve">3.1.4 Комплект поставки и РКД должны включать экранированные адаптеры HARTING PushPull → две вилки BNC 75 Ом / DIN 1.0/2.3 с маркировкой TX и RX.</w:t>
      </w:r>
    </w:p>
    <w:p>
      <w:pPr>
        <w:pStyle w:val="Req"/>
      </w:pPr>
      <w:r>
        <w:rPr/>
        <w:t xml:space="preserve">3.1.5 Применение BNC 50 Ом запрещено по импедансу и габаритам.</w:t>
      </w:r>
    </w:p>
    <w:p>
      <w:pPr>
        <w:pStyle w:val="Heading2"/>
      </w:pPr>
      <w:r>
        <w:rPr/>
        <w:t xml:space="preserve">3.2 Электрические параметры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Параметр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E2 (два порта)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Скорость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8448 кбит/с (8,448 Мбит/с) ±30 ppm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34 368 кбит/с (34,368 Мбит/с) ±20 ppm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Код и сопротивление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HDB3, 75 Ом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HDB3, 75 Ом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Пиковое напряжение / длительность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2,37 В / 59 нс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1,0 В / 14,55 нс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Возвратные потери входа/выхода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≥18 дБ, 422–8448 кГц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≥18 дБ, 1720–34 368 кГц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Допустимое затухание кабеля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до 6 дБ на 4224 кГц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до 12 дБ на 17 184 кГц</w:t>
            </w:r>
          </w:p>
        </w:tc>
      </w:tr>
    </w:tbl>
    <w:p>
      <w:pPr>
        <w:pStyle w:val="Req"/>
      </w:pPr>
      <w:r>
        <w:rPr/>
        <w:t xml:space="preserve">3.2.1 Каждый порт должен иметь трансформаторную гальваническую развязку и импульсную защиту.</w:t>
      </w:r>
    </w:p>
    <w:p>
      <w:pPr>
        <w:pStyle w:val="Req"/>
      </w:pPr>
      <w:r>
        <w:rPr/>
        <w:t xml:space="preserve">3.2.2 Структура потока E2 должна соответствовать ITU-T G.704; структура потока E3 — ITU-T G.751; электрические параметры — ITU-T G.703.</w:t>
      </w:r>
    </w:p>
    <w:p>
      <w:pPr>
        <w:jc w:val="both"/>
      </w:pPr>
      <w:r>
        <w:rPr/>
        <w:t xml:space="preserve">Примечание — Допускаемые погрешности измерений пикового напряжения, длительности импульса, возвратных потерь и затухания в исходных данных не установлены; их значения для ПМИ — [уточнить].</w:t>
      </w:r>
    </w:p>
    <w:p>
      <w:pPr>
        <w:pStyle w:val="Heading2"/>
      </w:pPr>
      <w:r>
        <w:rPr/>
        <w:t xml:space="preserve">3.3 Пакетная передача, синхронизация и диагностика</w:t>
      </w:r>
    </w:p>
    <w:p>
      <w:pPr>
        <w:pStyle w:val="Req"/>
      </w:pPr>
      <w:r>
        <w:rPr/>
        <w:t xml:space="preserve">3.3.1 Для E3 должна быть реализована SAToP по RFC 4553: передача полного потока с управляющим словом и контролем последовательности.</w:t>
      </w:r>
    </w:p>
    <w:p>
      <w:pPr>
        <w:pStyle w:val="Req"/>
      </w:pPr>
      <w:r>
        <w:rPr/>
        <w:t xml:space="preserve">3.3.2 Для E2 должна быть реализована E2oP на архитектуре SAToP: передача полного потока с минимальной фиксированной задержкой. Численное значение задержки — [уточнить].</w:t>
      </w:r>
    </w:p>
    <w:p>
      <w:pPr>
        <w:pStyle w:val="Req"/>
      </w:pPr>
      <w:r>
        <w:rPr/>
        <w:t xml:space="preserve">3.3.3 Передача должна выполняться через Fabric 10GbE с обслуживанием Strict Priority QoS.</w:t>
      </w:r>
    </w:p>
    <w:p>
      <w:pPr>
        <w:pStyle w:val="Req"/>
      </w:pPr>
      <w:r>
        <w:rPr/>
        <w:t xml:space="preserve">3.3.4 Диапазон настройки джиттер-буфера каждого сервиса должен составлять от 1 до 64 мс.</w:t>
      </w:r>
    </w:p>
    <w:p>
      <w:pPr>
        <w:pStyle w:val="Req"/>
      </w:pPr>
      <w:r>
        <w:rPr/>
        <w:t xml:space="preserve">3.3.5 При потере пакетов или аварии сети на соответствующем выходе должен непрерывно формироваться AIS.</w:t>
      </w:r>
    </w:p>
    <w:p>
      <w:pPr>
        <w:pStyle w:val="Req"/>
      </w:pPr>
      <w:r>
        <w:rPr/>
        <w:t xml:space="preserve">3.3.6 Должно обеспечиваться преобразование TCLK 19,44 МГц в частоты 8,448 и 34,368 МГц, а также режимы ACR/DCR, Holdover и Loop timing.</w:t>
      </w:r>
    </w:p>
    <w:p>
      <w:pPr>
        <w:pStyle w:val="Req"/>
      </w:pPr>
      <w:r>
        <w:rPr/>
        <w:t xml:space="preserve">3.3.7 Частота любого входного порта должна выдаваться в RX_CLK; ПЛИС/DPLL базовой платы должна преобразовывать RX_CLK в 19,44 МГц для TCLK.</w:t>
      </w:r>
    </w:p>
    <w:p>
      <w:pPr>
        <w:pStyle w:val="Req"/>
      </w:pPr>
      <w:r>
        <w:rPr/>
        <w:t xml:space="preserve">3.3.8 Характеристики джиттера и вандера должны соответствовать ITU-T G.823.</w:t>
      </w:r>
    </w:p>
    <w:p>
      <w:pPr>
        <w:pStyle w:val="Req"/>
      </w:pPr>
      <w:r>
        <w:rPr/>
        <w:t xml:space="preserve">3.3.9 Для каждого порта должен выполняться контроль LOS, AIS, BPV/CV HDB3, переполнения и опустошения джиттер-буфера.</w:t>
      </w:r>
    </w:p>
    <w:p>
      <w:pPr>
        <w:pStyle w:val="Req"/>
      </w:pPr>
      <w:r>
        <w:rPr/>
        <w:t xml:space="preserve">3.3.10 Для каждого порта должны поддерживаться Local Line Loopback, Payload Loopback и Packet Loopback.</w:t>
      </w:r>
    </w:p>
    <w:p>
      <w:pPr>
        <w:pStyle w:val="Req"/>
      </w:pPr>
      <w:r>
        <w:rPr/>
        <w:t xml:space="preserve">3.3.11 Для каждого порта должны быть предусмотрены генератор и анализатор PRBS 2^23−1 для измерения BER.</w:t>
      </w:r>
    </w:p>
    <w:p>
      <w:pPr>
        <w:pStyle w:val="Heading2"/>
      </w:pPr>
      <w:r>
        <w:rPr/>
        <w:t xml:space="preserve">3.4 Энергопотребление, конструкция, стойкость и надёжность</w:t>
      </w:r>
    </w:p>
    <w:p>
      <w:pPr>
        <w:pStyle w:val="Req"/>
      </w:pPr>
      <w:r>
        <w:rPr/>
        <w:t xml:space="preserve">3.4.1 Потребляемая мощность субплаты должна быть не более 15 Вт; потребляемая мощность сборки должна быть не более 35 Вт.</w:t>
      </w:r>
    </w:p>
    <w:p>
      <w:pPr>
        <w:pStyle w:val="Req"/>
      </w:pPr>
      <w:r>
        <w:rPr/>
        <w:t xml:space="preserve">3.4.2 Конструкция должна соответствовать исполнению Single Full-size AMC.0 с габаритами 73,5 × 180,6 × 28,95 мм.</w:t>
      </w:r>
    </w:p>
    <w:p>
      <w:pPr>
        <w:pStyle w:val="Req"/>
      </w:pPr>
      <w:r>
        <w:rPr/>
        <w:t xml:space="preserve">3.4.3 Межплатное крепление должно выполняться на 4–6 металлических стойках М2,5.</w:t>
      </w:r>
    </w:p>
    <w:p>
      <w:pPr>
        <w:pStyle w:val="Req"/>
      </w:pPr>
      <w:r>
        <w:rPr/>
        <w:t xml:space="preserve">3.4.4 Изделие должно соответствовать ГОСТ РВ 20.39.304-98 для групп 1.1, 1.3, 1.4.1, исполнение «О», при рабочей температуре от −10 до +50 °C, предельной температуре от −40 до +65 °C, синусоидальной вибрации 5g и ударах 15g.</w:t>
      </w:r>
    </w:p>
    <w:p>
      <w:pPr>
        <w:pStyle w:val="Req"/>
      </w:pPr>
      <w:r>
        <w:rPr/>
        <w:t xml:space="preserve">3.4.5 По радиопомехам изделие должно соответствовать группе 1.1.1 ГОСТ В 25803-91.</w:t>
      </w:r>
    </w:p>
    <w:p>
      <w:pPr>
        <w:pStyle w:val="Req"/>
      </w:pPr>
      <w:r>
        <w:rPr/>
        <w:t xml:space="preserve">3.4.6 Средняя наработка на отказ (MTBF) должна быть не менее 15 000 ч. Назначенный срок службы должен быть не менее 5 лет.</w:t>
      </w:r>
    </w:p>
    <w:p>
      <w:pPr>
        <w:pStyle w:val="Heading2"/>
      </w:pPr>
      <w:r>
        <w:rPr/>
        <w:t xml:space="preserve">3.5 Проверка технических требований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  <w:gridCol w:w="3000"/>
      </w:tblGrid>
      <w:tr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Требования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Условие и воздействие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Наблюдаемый результат / критерий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/>
              </w:rPr>
              <w:t xml:space="preserve">Метод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3.1.1–3.1.5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Осмотр субплаты, разъёмов, цепей и комплекта адаптеров; чтение Board ID.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Состав, маркировка, 75-омные цепи, тип разъёмов и Board ID 0x03 соответствуют требованиям; BNC 50 Ом отсутствуют.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Осмотр, анализ РКД, измерение.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3.2.1–3.2.2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Каждый порт E2 и E3 в штатном режиме и при заданном затухании кабеля.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Параметры соответствуют таблице 3.2 и указанным рекомендациям ITU-T; подтверждены развязка и защита. Погрешности измерений — [уточнить].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Осмотр, измерение, испытание.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3.3.1–3.3.4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Передача E2/E3 через Fabric 10GbE; настройка границ джиттер-буфера.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Полные потоки передаются в заданных режимах; управляющее слово и последовательность E3 контролируются; доступны 1 и 64 мс; Strict Priority QoS подтверждён.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Испытание, анализ.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3.3.5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Имитировать потерю пакетов и аварию сети поочерёдно.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На соответствующем выходе непрерывно присутствует AIS.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Испытание.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3.3.6–3.3.8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Последовательно выбрать TCLK, каждый входной порт и режимы ACR/DCR, Holdover, Loop timing.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Формируются 8,448/34,368 МГц; RX_CLK выбранного порта преобразуется в TCLK 19,44 МГц; джиттер/вандер соответствуют G.823.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Измерение, испытание.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3.3.9–3.3.11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Ввести LOS, AIS, BPV/CV, переполнение/опустошение; включить каждую петлю и PRBS.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Каждое состояние обнаружено; каждая петля работает на каждом порте; PRBS 2^23−1 генерируется и анализируется с измерением BER.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Испытание.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3.4.1–3.4.3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Штатная работа сборки; контроль конструкции.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Субплата ≤15 Вт, сборка ≤35 Вт; исполнение, габариты и крепление соответствуют требованиям.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Измерение, осмотр.</w:t>
            </w:r>
          </w:p>
        </w:tc>
      </w:tr>
      <w:tr>
        <w:tc>
          <w:tcPr>
            <w:tcW w:w="3000" w:type="dxa"/>
          </w:tcPr>
          <w:p>
            <w:pPr>
              <w:jc w:val="both"/>
            </w:pPr>
            <w:r>
              <w:rPr/>
              <w:t xml:space="preserve">3.4.4–3.4.6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Воздействия и оценка надёжности по указанным НД.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Подтверждены заданные группы, температуры, 5g, 15g, радиопомехи, MTBF ≥15 000 ч и срок службы ≥5 лет. Недостающие режимы и погрешности ПМИ — [уточнить].</w:t>
            </w:r>
          </w:p>
        </w:tc>
        <w:tc>
          <w:tcPr>
            <w:tcW w:w="3000" w:type="dxa"/>
          </w:tcPr>
          <w:p>
            <w:pPr>
              <w:jc w:val="both"/>
            </w:pPr>
            <w:r>
              <w:rPr/>
              <w:t xml:space="preserve">Испытание, расчёт, анализ.</w:t>
            </w:r>
          </w:p>
        </w:tc>
      </w:tr>
    </w:tbl>
    <w:p>
      <w:pPr>
        <w:pStyle w:val="Heading1"/>
      </w:pPr>
      <w:r>
        <w:rPr/>
        <w:t xml:space="preserve">4 Технико-экономические требования</w:t>
      </w:r>
    </w:p>
    <w:p>
      <w:pPr>
        <w:pStyle w:val="Req"/>
      </w:pPr>
      <w:r>
        <w:rPr/>
        <w:t xml:space="preserve">4.1 Технико-экономические требования не предъявляются.</w:t>
      </w:r>
    </w:p>
    <w:p>
      <w:pPr>
        <w:pStyle w:val="Heading1"/>
      </w:pPr>
      <w:r>
        <w:rPr/>
        <w:t xml:space="preserve">5 Требования к видам обеспечения</w:t>
      </w:r>
    </w:p>
    <w:p>
      <w:pPr>
        <w:pStyle w:val="Heading2"/>
      </w:pPr>
      <w:r>
        <w:rPr/>
        <w:t xml:space="preserve">5.1 Нормативное обеспечение</w:t>
      </w:r>
    </w:p>
    <w:p>
      <w:pPr>
        <w:pStyle w:val="Req"/>
      </w:pPr>
      <w:r>
        <w:rPr/>
        <w:t xml:space="preserve">5.1.1 При разработке должны применяться документы, перечисленные в перечне применимых нормативных и справочных документов настоящего ТЗ.</w:t>
      </w:r>
    </w:p>
    <w:p>
      <w:pPr>
        <w:pStyle w:val="Heading2"/>
      </w:pPr>
      <w:r>
        <w:rPr/>
        <w:t xml:space="preserve">5.2 Метрологическое обеспечение</w:t>
      </w:r>
    </w:p>
    <w:p>
      <w:pPr>
        <w:pStyle w:val="Req"/>
      </w:pPr>
      <w:r>
        <w:rPr/>
        <w:t xml:space="preserve">5.2.1 Должны быть предусмотрены средства и методики измерения формы и амплитуды импульсов по ITU-T G.703, возвратных потерь в трактах 75 Ом, джиттера по ITU-T G.823 и BER.</w:t>
      </w:r>
    </w:p>
    <w:p>
      <w:pPr>
        <w:pStyle w:val="Req"/>
      </w:pPr>
      <w:r>
        <w:rPr/>
        <w:t xml:space="preserve">5.2.2 Состав средств измерений, методики и допускаемые погрешности, не заданные исходными данными, должны быть определены в ПМИ: [уточнить].</w:t>
      </w:r>
    </w:p>
    <w:p>
      <w:pPr>
        <w:pStyle w:val="Heading2"/>
      </w:pPr>
      <w:r>
        <w:rPr/>
        <w:t xml:space="preserve">5.3 Диагностическое обеспечение</w:t>
      </w:r>
    </w:p>
    <w:p>
      <w:pPr>
        <w:pStyle w:val="Req"/>
      </w:pPr>
      <w:r>
        <w:rPr/>
        <w:t xml:space="preserve">5.3.1 Должна обеспечиваться регистрация LOS, AIS и BPV, а также формирование сообщений и отчётов для РМО.</w:t>
      </w:r>
    </w:p>
    <w:p>
      <w:pPr>
        <w:pStyle w:val="Heading2"/>
      </w:pPr>
      <w:r>
        <w:rPr/>
        <w:t xml:space="preserve">5.4 Программное обеспечение</w:t>
      </w:r>
    </w:p>
    <w:p>
      <w:pPr>
        <w:pStyle w:val="Req"/>
      </w:pPr>
      <w:r>
        <w:rPr/>
        <w:t xml:space="preserve">5.4.1 В составе программного обеспечения должны быть разработаны bitstream функционального модуля для Flash базовой платы, драйверы Linux и MIB для РМО.</w:t>
      </w:r>
    </w:p>
    <w:p>
      <w:pPr>
        <w:pStyle w:val="Heading2"/>
      </w:pPr>
      <w:r>
        <w:rPr/>
        <w:t xml:space="preserve">5.5 Проверка требований к видам обеспечения</w:t>
      </w:r>
    </w:p>
    <w:p>
      <w:pPr>
        <w:pStyle w:val="Req"/>
      </w:pPr>
      <w:r>
        <w:rPr/>
        <w:t xml:space="preserve">5.5.1 Проверку 5.1.1 выполнять анализом РКД, программной документации и ПМИ на наличие ссылок на применимые документы.</w:t>
      </w:r>
    </w:p>
    <w:p>
      <w:pPr>
        <w:pStyle w:val="Req"/>
      </w:pPr>
      <w:r>
        <w:rPr/>
        <w:t xml:space="preserve">5.5.2 Проверку 5.2.1 выполнять осмотром средств и анализом методик, затем измерениями формы и амплитуды импульсов, возвратных потерь, джиттера и BER; критерии — соответствие 3.2, 3.3.8 и 3.3.11 с учётом данных, подлежащих уточнению по 5.2.2.</w:t>
      </w:r>
    </w:p>
    <w:p>
      <w:pPr>
        <w:pStyle w:val="Req"/>
      </w:pPr>
      <w:r>
        <w:rPr/>
        <w:t xml:space="preserve">5.5.3 Проверку 5.3.1 выполнять поочерёдным вводом LOS, AIS и BPV; критерием является регистрация каждого события и наличие соответствующих сообщений и отчётов РМО.</w:t>
      </w:r>
    </w:p>
    <w:p>
      <w:pPr>
        <w:pStyle w:val="Req"/>
      </w:pPr>
      <w:r>
        <w:rPr/>
        <w:t xml:space="preserve">5.5.4 Проверку 5.4.1 выполнять осмотром состава поставки и испытанием загрузки bitstream из Flash, работы драйверов Linux и доступа РМО через MIB.</w:t>
      </w:r>
    </w:p>
    <w:p>
      <w:pPr>
        <w:pStyle w:val="Heading1"/>
      </w:pPr>
      <w:r>
        <w:rPr/>
        <w:t xml:space="preserve">6 Требования к сырью, материалам и комплектующим изделиям</w:t>
      </w:r>
    </w:p>
    <w:p>
      <w:pPr>
        <w:pStyle w:val="Req"/>
      </w:pPr>
      <w:r>
        <w:rPr/>
        <w:t xml:space="preserve">6.1 При выборе материалов и комплектующих должен отдаваться приоритет отечественным материалам и комплектующим с приёмкой ОТК.</w:t>
      </w:r>
    </w:p>
    <w:p>
      <w:pPr>
        <w:pStyle w:val="Req"/>
      </w:pPr>
      <w:r>
        <w:rPr/>
        <w:t xml:space="preserve">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Req"/>
      </w:pPr>
      <w:r>
        <w:rPr/>
        <w:t xml:space="preserve">6.3 Соответствие требованиям 6.1 и 6.2 проверяют анализом перечней элементов, спецификаций и документов о приёмке ОТК; отсутствие отечественных аналогов должно быть подтверждено в РКД: форма подтверждения — [уточнить].</w:t>
      </w:r>
    </w:p>
    <w:p>
      <w:pPr>
        <w:pStyle w:val="Heading1"/>
      </w:pPr>
      <w:r>
        <w:rPr/>
        <w:t xml:space="preserve">7 Требования к консервации, упаковке и маркировке</w:t>
      </w:r>
    </w:p>
    <w:p>
      <w:pPr>
        <w:pStyle w:val="Req"/>
      </w:pPr>
      <w:r>
        <w:rPr/>
        <w:t xml:space="preserve">7.1 На изделии должны быть нанесены децимальный номер, серийный номер, ревизия и маркировка E2-1, E2-2, E3-1.</w:t>
      </w:r>
    </w:p>
    <w:p>
      <w:pPr>
        <w:pStyle w:val="Req"/>
      </w:pPr>
      <w:r>
        <w:rPr/>
        <w:t xml:space="preserve">7.2 Каждое изделие должно поставляться в индивидуальной таре с ESD-защитой.</w:t>
      </w:r>
    </w:p>
    <w:p>
      <w:pPr>
        <w:pStyle w:val="Req"/>
      </w:pPr>
      <w:r>
        <w:rPr/>
        <w:t xml:space="preserve">7.3 Срок хранения в заводской таре должен составлять не менее 1 года по ГОСТ 15150.</w:t>
      </w:r>
    </w:p>
    <w:p>
      <w:pPr>
        <w:pStyle w:val="Req"/>
      </w:pPr>
      <w:r>
        <w:rPr/>
        <w:t xml:space="preserve">7.4 Условия и способы консервации в исходных данных не заданы и подлежат уточнению: [уточнить].</w:t>
      </w:r>
    </w:p>
    <w:p>
      <w:pPr>
        <w:pStyle w:val="Req"/>
      </w:pPr>
      <w:r>
        <w:rPr/>
        <w:t xml:space="preserve">7.5 Проверку 7.1 и 7.2 выполнять осмотром изделия и упаковки; критерием является наличие всей заданной маркировки, индивидуальной тары и ESD-защиты. Требование 7.3 проверять анализом документации и испытанием хранения по ГОСТ 15150; конкретные условия и методика — [уточнить].</w:t>
      </w:r>
    </w:p>
    <w:p>
      <w:pPr>
        <w:pStyle w:val="Heading1"/>
      </w:pPr>
      <w:r>
        <w:rPr/>
        <w:t xml:space="preserve">8 Специальные требования</w:t>
      </w:r>
    </w:p>
    <w:p>
      <w:pPr>
        <w:pStyle w:val="Req"/>
      </w:pPr>
      <w:r>
        <w:rPr/>
        <w:t xml:space="preserve">8.1 Телеметрия РМО, реализованная на C++/Qt, должна отображать мнемосхему портов, состояния LOS/AIS и BPV, режимы SAToP/E2oP и выбранный источник тактирования.</w:t>
      </w:r>
    </w:p>
    <w:p>
      <w:pPr>
        <w:pStyle w:val="Req"/>
      </w:pPr>
      <w:r>
        <w:rPr/>
        <w:t xml:space="preserve">8.2 РМО должно обеспечивать команды включения и отключения передатчиков, настройки джиттер-буфера, управления петлями и PRBS.</w:t>
      </w:r>
    </w:p>
    <w:p>
      <w:pPr>
        <w:pStyle w:val="Req"/>
      </w:pPr>
      <w:r>
        <w:rPr/>
        <w:t xml:space="preserve">8.3 Проверку 8.1 выполнять поочерёдным изменением состояний портов, режимов и источника тактирования; критерием является соответствующее отображение каждого состояния на мнемосхеме РМО.</w:t>
      </w:r>
    </w:p>
    <w:p>
      <w:pPr>
        <w:pStyle w:val="Req"/>
      </w:pPr>
      <w:r>
        <w:rPr/>
        <w:t xml:space="preserve">8.4 Проверку 8.2 выполнять выдачей каждой команды для каждого применимого порта; критерием является наблюдаемое включение/отключение передатчика, установка заданного значения джиттер-буфера в диапазоне 1–64 мс, включение выбранной петли и запуск/останов PRBS.</w:t>
      </w:r>
    </w:p>
    <w:p>
      <w:r>
        <w:br w:type="page"/>
      </w:r>
    </w:p>
    <w:p>
      <w:pPr>
        <w:pStyle w:val="Heading1"/>
      </w:pPr>
      <w:r>
        <w:rPr/>
        <w:t xml:space="preserve">ПОДПИСИ РАЗРАБОТЧИКОВ И СОГЛАСУЮЩИХ ОРГАНИЗАЦИЙ</w:t>
      </w:r>
    </w:p>
    <w:p>
      <w:pPr>
        <w:jc w:val="both"/>
      </w:pPr>
      <w:r>
        <w:rPr>
          <w:b/>
        </w:rPr>
        <w:t xml:space="preserve">Разработчик ТЗ на составную часть ОКР</w:t>
      </w:r>
    </w:p>
    <w:p>
      <w:pPr>
        <w:jc w:val="both"/>
      </w:pPr>
      <w:r>
        <w:rPr/>
        <w:t xml:space="preserve">[должность — уточнить]    __________    [ФИО — уточнить]    «___» __________ 20__ г.</w:t>
      </w:r>
    </w:p>
    <w:p>
      <w:pPr>
        <w:jc w:val="both"/>
      </w:pPr>
      <w:r>
        <w:rPr>
          <w:b/>
        </w:rPr>
        <w:t xml:space="preserve">СОГЛАСОВАНО</w:t>
      </w:r>
    </w:p>
    <w:p>
      <w:pPr>
        <w:jc w:val="both"/>
      </w:pPr>
      <w:r>
        <w:rPr/>
        <w:t xml:space="preserve">[должность, организация — уточнить]    __________    [ФИО — уточнить]    «___» __________ 20__ г.</w:t>
      </w:r>
    </w:p>
    <w:sectPr>
      <w:headerReference w:type="default" r:id="rId2"/>
      <w:pgSz w:w="11906" w:h="16838"/>
      <w:pgMar w:top="1134" w:right="850" w:bottom="1134" w:left="1417" w:header="500" w:footer="50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4"/>
      </w:rPr>
    </w:rPrDefault>
    <w:pPrDefault>
      <w:pPr>
        <w:spacing w:after="60" w:line="276" w:lineRule="auto"/>
        <w:ind w:firstLine="709"/>
      </w:pPr>
    </w:pPrDefault>
  </w:docDefaults>
  <w:style w:type="paragraph" w:styleId="Heading1">
    <w:name w:val="Heading1"/>
    <w:basedOn w:val="Normal"/>
    <w:pPr>
      <w:keepNext/>
      <w:spacing w:before="200" w:after="120"/>
      <w:ind w:firstLine="0"/>
    </w:pPr>
    <w:rPr>
      <w:b/>
      <w:sz w:val="28"/>
    </w:rPr>
  </w:style>
  <w:style w:type="paragraph" w:styleId="Heading2">
    <w:name w:val="Heading2"/>
    <w:basedOn w:val="Normal"/>
    <w:pPr>
      <w:keepNext/>
      <w:spacing w:before="200" w:after="120"/>
      <w:ind w:firstLine="0"/>
    </w:pPr>
    <w:rPr>
      <w:b/>
      <w:sz w:val="26"/>
    </w:rPr>
  </w:style>
  <w:style w:type="paragraph" w:styleId="Heading3">
    <w:name w:val="Heading3"/>
    <w:basedOn w:val="Normal"/>
    <w:pPr>
      <w:keepNext/>
      <w:spacing w:before="200" w:after="120"/>
      <w:ind w:firstLine="0"/>
    </w:pPr>
    <w:rPr>
      <w:b/>
      <w:sz w:val="24"/>
    </w:rPr>
  </w:style>
  <w:style w:type="paragraph" w:styleId="Req">
    <w:name w:val="Req"/>
    <w:basedOn w:val="Normal"/>
    <w:pPr>
      <w:ind w:firstLine="0"/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Техническое задание на составную часть ОКР «Развитие-ТСА»</dc:title>
  <dc:language>ru-RU</dc:language>
</cp:coreProperties>
</file>