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after="0"/>
      </w:pPr>
      <w:r>
        <w:rPr>
          <w:b/>
        </w:rPr>
        <w:t xml:space="preserve">СОГЛАСОВАНО</w:t>
      </w:r>
    </w:p>
    <w:p>
      <w:pPr>
        <w:jc w:val="left"/>
        <w:spacing w:after="0"/>
      </w:pPr>
      <w:r>
        <w:rPr/>
        <w:t xml:space="preserve">Заказчик (НИО заказчика): [уточнить]</w:t>
      </w:r>
    </w:p>
    <w:p>
      <w:pPr>
        <w:jc w:val="left"/>
        <w:spacing w:after="0"/>
      </w:pPr>
      <w:r>
        <w:rPr/>
        <w:t xml:space="preserve">Подпись: —   Инициалы, фамилия: [уточнить]   Дата: [уточнить]</w:t>
      </w:r>
    </w:p>
    <w:p>
      <w:pPr>
        <w:jc w:val="center"/>
        <w:spacing w:before="240"/>
        <w:spacing w:after="0"/>
      </w:pPr>
      <w:r>
        <w:rPr>
          <w:b/>
        </w:rPr>
        <w:t xml:space="preserve">СОГЛАСОВАНО</w:t>
      </w:r>
    </w:p>
    <w:p>
      <w:pPr>
        <w:jc w:val="center"/>
        <w:spacing w:after="0"/>
      </w:pPr>
      <w:r>
        <w:rPr/>
        <w:t xml:space="preserve">Исполнитель составной части ОКР: ООО «тушканчик»</w:t>
      </w:r>
    </w:p>
    <w:p>
      <w:pPr>
        <w:jc w:val="center"/>
        <w:spacing w:after="0"/>
      </w:pPr>
      <w:r>
        <w:rPr/>
        <w:t xml:space="preserve">Подпись: —   Инициалы, фамилия: [уточнить]   Дата: [уточнить]</w:t>
      </w:r>
    </w:p>
    <w:p>
      <w:pPr>
        <w:jc w:val="right"/>
        <w:spacing w:before="240"/>
        <w:spacing w:after="0"/>
      </w:pPr>
      <w:r>
        <w:rPr>
          <w:b/>
        </w:rPr>
        <w:t xml:space="preserve">УТВЕРЖДАЮ</w:t>
      </w:r>
    </w:p>
    <w:p>
      <w:pPr>
        <w:jc w:val="right"/>
        <w:spacing w:after="0"/>
      </w:pPr>
      <w:r>
        <w:rPr/>
        <w:t xml:space="preserve">Головной исполнитель ОКР: [уточнить]</w:t>
      </w:r>
    </w:p>
    <w:p>
      <w:pPr>
        <w:jc w:val="right"/>
        <w:spacing w:after="960"/>
      </w:pPr>
      <w:r>
        <w:rPr/>
        <w:t xml:space="preserve">Подпись: —   Инициалы, фамилия: [уточнить]   Дата: [уточнить]</w:t>
      </w:r>
    </w:p>
    <w:p>
      <w:pPr>
        <w:jc w:val="center"/>
        <w:spacing w:after="120"/>
      </w:pPr>
      <w:r>
        <w:rPr>
          <w:b/>
          <w:sz w:val="32"/>
          <w:szCs w:val="32"/>
        </w:rPr>
        <w:t xml:space="preserve">ТЕХНИЧЕСКОЕ ЗАДАНИЕ</w:t>
      </w:r>
    </w:p>
    <w:p>
      <w:pPr>
        <w:jc w:val="center"/>
        <w:spacing w:after="480"/>
      </w:pPr>
      <w:r>
        <w:rPr>
          <w:b/>
        </w:rPr>
        <w:t xml:space="preserve">НА СОСТАВНУЮ ЧАСТЬ ОПЫТНО-КОНСТРУКТОРСКОЙ РАБОТЫ</w:t>
      </w:r>
    </w:p>
    <w:p>
      <w:pPr>
        <w:jc w:val="center"/>
        <w:spacing w:after="240"/>
      </w:pPr>
      <w:r>
        <w:rPr>
          <w:b/>
        </w:rPr>
        <w:t xml:space="preserve">Разработка сменной интерфейсной субплаты E2/E3 и функционального модуля PDH для универсального базового модуля AMC семейства ДММП</w:t>
      </w:r>
    </w:p>
    <w:p>
      <w:pPr>
        <w:jc w:val="center"/>
        <w:spacing w:after="240"/>
      </w:pPr>
      <w:r>
        <w:rPr/>
        <w:t xml:space="preserve">Шифр ОКР «Развитие-ТСА»</w:t>
      </w:r>
    </w:p>
    <w:p>
      <w:pPr>
        <w:jc w:val="center"/>
        <w:spacing w:after="240"/>
      </w:pPr>
      <w:r>
        <w:rPr/>
        <w:t xml:space="preserve">Обозначение составной части изделия: [уточнить]</w:t>
      </w:r>
    </w:p>
    <w:p>
      <w:pPr>
        <w:jc w:val="center"/>
        <w:spacing w:after="720"/>
      </w:pPr>
      <w:r>
        <w:rPr/>
        <w:t xml:space="preserve">Регистрационный номер: [уточнить]</w:t>
      </w:r>
    </w:p>
    <w:p>
      <w:pPr>
        <w:jc w:val="center"/>
      </w:pPr>
      <w:r>
        <w:rPr/>
        <w:t xml:space="preserve">Действует с дополнением: [уточнить]</w:t>
      </w:r>
    </w:p>
    <w:p>
      <w:r>
        <w:br w:type="page"/>
      </w:r>
    </w:p>
    <w:p>
      <w:pPr>
        <w:pStyle w:val="Title"/>
        <w:jc w:val="center"/>
      </w:pPr>
      <w:r>
        <w:rPr/>
        <w:t xml:space="preserve">ЛИСТ СОГЛАСОВАНИЯ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3000"/>
        <w:gridCol w:w="2600"/>
        <w:gridCol w:w="1000"/>
        <w:gridCol w:w="1200"/>
      </w:tblGrid>
      <w:tr>
        <w:tc>
          <w:tcPr>
            <w:tcW w:w="30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Организация / роль</w:t>
            </w:r>
          </w:p>
        </w:tc>
        <w:tc>
          <w:tcPr>
            <w:tcW w:w="26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Должность, инициалы, фамилия</w:t>
            </w:r>
          </w:p>
        </w:tc>
        <w:tc>
          <w:tcPr>
            <w:tcW w:w="10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Подпись</w:t>
            </w:r>
          </w:p>
        </w:tc>
        <w:tc>
          <w:tcPr>
            <w:tcW w:w="12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Заказчик (НИО заказчика)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—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Исполнитель составной части ОКР — ООО «тушканчик»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—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Головной исполнитель ОКР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—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</w:tr>
    </w:tbl>
    <w:p>
      <w:pPr>
        <w:spacing w:before="120"/>
      </w:pPr>
      <w:r>
        <w:rPr>
          <w:i/>
        </w:rPr>
        <w:t xml:space="preserve">Примечание — Полномочия согласующих организаций и должностных лиц подлежат уточнению.</w:t>
      </w:r>
    </w:p>
    <w:p>
      <w:r>
        <w:br w:type="page"/>
      </w:r>
    </w:p>
    <w:p>
      <w:pPr>
        <w:pStyle w:val="Title"/>
        <w:jc w:val="center"/>
      </w:pPr>
      <w:r>
        <w:rPr/>
        <w:t xml:space="preserve">ПЕРЕЧЕНЬ ОБОЗНАЧЕНИЙ, ТЕРМИНОВ И СОКРАЩЕНИЙ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2300"/>
        <w:gridCol w:w="5500"/>
      </w:tblGrid>
      <w:tr>
        <w:tc>
          <w:tcPr>
            <w:tcW w:w="23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Обозначение (термин)</w:t>
            </w:r>
          </w:p>
        </w:tc>
        <w:tc>
          <w:tcPr>
            <w:tcW w:w="55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AMC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Advanced Mezzanine Card; форм-фактор мезонинного модуля.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ПЛИС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программируемая логическая интегральная схема.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B2B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board-to-board; межплатное соединение.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Board ID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идентификатор платы.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MMC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модуль управления модулем (Module Management Controller).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РМО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рабочее место оператора.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ОКР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опытно-конструкторская работа.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РКД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рабочая конструкторская документация.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ПМИ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программа и методика испытаний.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PDH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плезиохронная цифровая иерархия.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LIU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линейное интерфейсное устройство.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EEPROM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электрически стираемая перепрограммируемая постоянная память.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HDB3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линейный код HDB3.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SAToP / E2oP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передача синхронного потока по пакетной сети / E2 по пакетной сети.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AIS, LOS, BPV, CV, BER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сигнал индикации аварии; потеря сигнала; нарушение биполярности; нарушение кода; коэффициент битовых ошибок.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ACR / DCR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восстановление тактовой частоты / дифференциальное восстановление тактовой частоты.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DPLL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цифровая фазовая автоподстройка частоты.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TCLK, RX_CLK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тактовый сигнал; тактовый сигнал приема.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ESD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защита от электростатического разряда.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ОТК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отдел технического контроля.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MIB</w:t>
            </w:r>
          </w:p>
        </w:tc>
        <w:tc>
          <w:tcPr>
            <w:tcW w:w="5500" w:type="dxa"/>
          </w:tcPr>
          <w:p>
            <w:pPr>
              <w:spacing w:after="0"/>
            </w:pPr>
            <w:r>
              <w:rPr/>
              <w:t xml:space="preserve">база управляющей информации.</w:t>
            </w:r>
          </w:p>
        </w:tc>
      </w:tr>
    </w:tbl>
    <w:p>
      <w:pPr>
        <w:spacing w:before="120"/>
      </w:pPr>
      <w:r>
        <w:rPr>
          <w:i/>
        </w:rPr>
        <w:t xml:space="preserve">Примечание — Раскрытия сокращений приведены для использования в настоящем ТЗ; обозначения протоколов и интерфейсов сохранены в исходном виде.</w:t>
      </w:r>
    </w:p>
    <w:p>
      <w:r>
        <w:br w:type="page"/>
      </w:r>
    </w:p>
    <w:p>
      <w:pPr>
        <w:pStyle w:val="Title"/>
        <w:jc w:val="center"/>
      </w:pPr>
      <w:r>
        <w:rPr/>
        <w:t xml:space="preserve">ПЕРЕЧЕНЬ ПРИМЕНИМЫХ НОРМАТИВНЫХ И СПРАВОЧНЫХ ДОКУМЕНТОВ</w:t>
      </w:r>
    </w:p>
    <w:p>
      <w:pPr>
        <w:pStyle w:val="ListBullet"/>
      </w:pPr>
      <w:r>
        <w:rPr/>
        <w:t xml:space="preserve">ГОСТ 15.016-2016 «Система разработки и постановки продукции на производство. Техническое задание. Требования к содержанию и оформлению».</w:t>
      </w:r>
    </w:p>
    <w:p>
      <w:pPr>
        <w:pStyle w:val="ListBullet"/>
      </w:pPr>
      <w:r>
        <w:rPr/>
        <w:t xml:space="preserve">ITU-T G.703.</w:t>
      </w:r>
    </w:p>
    <w:p>
      <w:pPr>
        <w:pStyle w:val="ListBullet"/>
      </w:pPr>
      <w:r>
        <w:rPr/>
        <w:t xml:space="preserve">ITU-T G.704.</w:t>
      </w:r>
    </w:p>
    <w:p>
      <w:pPr>
        <w:pStyle w:val="ListBullet"/>
      </w:pPr>
      <w:r>
        <w:rPr/>
        <w:t xml:space="preserve">ITU-T G.751.</w:t>
      </w:r>
    </w:p>
    <w:p>
      <w:pPr>
        <w:pStyle w:val="ListBullet"/>
      </w:pPr>
      <w:r>
        <w:rPr/>
        <w:t xml:space="preserve">ITU-T G.823.</w:t>
      </w:r>
    </w:p>
    <w:p>
      <w:pPr>
        <w:pStyle w:val="ListBullet"/>
      </w:pPr>
      <w:r>
        <w:rPr/>
        <w:t xml:space="preserve">RFC 4553.</w:t>
      </w:r>
    </w:p>
    <w:p>
      <w:pPr>
        <w:pStyle w:val="ListBullet"/>
      </w:pPr>
      <w:r>
        <w:rPr/>
        <w:t xml:space="preserve">PICMG AMC.0 R2.0.</w:t>
      </w:r>
    </w:p>
    <w:p>
      <w:pPr>
        <w:pStyle w:val="ListBullet"/>
      </w:pPr>
      <w:r>
        <w:rPr/>
        <w:t xml:space="preserve">ГОСТ РВ 20.39.304-98.</w:t>
      </w:r>
    </w:p>
    <w:p>
      <w:pPr>
        <w:pStyle w:val="ListBullet"/>
      </w:pPr>
      <w:r>
        <w:rPr/>
        <w:t xml:space="preserve">ГОСТ В 25803-91.</w:t>
      </w:r>
    </w:p>
    <w:p>
      <w:pPr>
        <w:pStyle w:val="ListBullet"/>
      </w:pPr>
      <w:r>
        <w:rPr/>
        <w:t xml:space="preserve">ГОСТ 2.114-2016.</w:t>
      </w:r>
    </w:p>
    <w:p>
      <w:pPr>
        <w:pStyle w:val="ListBullet"/>
      </w:pPr>
      <w:r>
        <w:rPr/>
        <w:t xml:space="preserve">ГОСТ РВ 15.201-2003.</w:t>
      </w:r>
    </w:p>
    <w:p>
      <w:pPr>
        <w:pStyle w:val="ListBullet"/>
      </w:pPr>
      <w:r>
        <w:rPr/>
        <w:t xml:space="preserve">ГОСТ 15150.</w:t>
      </w:r>
    </w:p>
    <w:p>
      <w:pPr>
        <w:spacing w:before="120"/>
      </w:pPr>
      <w:r>
        <w:rPr>
          <w:i/>
        </w:rPr>
        <w:t xml:space="preserve">Примечание — Применимость и актуальность документов, кроме ГОСТ 15.016-2016, в исходных данных заданы только их обозначениями; их конкретные положения в настоящем ТЗ не воспроизводятся.</w:t>
      </w:r>
    </w:p>
    <w:p>
      <w:r>
        <w:br w:type="page"/>
      </w:r>
    </w:p>
    <w:p>
      <w:pPr>
        <w:pStyle w:val="Heading1"/>
      </w:pPr>
      <w:r>
        <w:rPr/>
        <w:t xml:space="preserve">1 Наименование, шифр, основание, исполнители и сроки ОКР</w:t>
      </w:r>
    </w:p>
    <w:p>
      <w:pPr/>
      <w:r>
        <w:rPr/>
        <w:t xml:space="preserve">1.1 Наименование составной части ОКР: «Разработка сменной интерфейсной субплаты E2/E3 и функционального модуля PDH для универсального базового модуля AMC семейства ДММП».</w:t>
      </w:r>
    </w:p>
    <w:p>
      <w:pPr/>
      <w:r>
        <w:rPr/>
        <w:t xml:space="preserve">1.2 Шифр ОКР — «Развитие-ТСА».</w:t>
      </w:r>
    </w:p>
    <w:p>
      <w:pPr/>
      <w:r>
        <w:rPr/>
        <w:t xml:space="preserve">1.3 Основание выполнения: приказ об открытии инициативной ОКР № [уточнить] от [уточнить].</w:t>
      </w:r>
    </w:p>
    <w:p>
      <w:pPr/>
      <w:r>
        <w:rPr/>
        <w:t xml:space="preserve">1.4 Исполнитель составной части ОКР — ООО «тушканчик». Головной исполнитель ОКР, заказчик и соисполнители — [уточнить].</w:t>
      </w:r>
    </w:p>
    <w:p>
      <w:pPr/>
      <w:r>
        <w:rPr/>
        <w:t xml:space="preserve">1.5 Сроки выполнения составной части ОКР должны быть увязаны с утвержденным планом-графиком разработки РКД, программной документации, изготовления образцов и испытаний. Даты начала и окончания работ — [уточнить].</w:t>
      </w:r>
    </w:p>
    <w:p>
      <w:pPr/>
      <w:r>
        <w:rPr>
          <w:i/>
        </w:rPr>
        <w:t xml:space="preserve">1.6 Проверка: наличие основания, шифра, исполнителя и утвержденного план-графика с указанными видами работ проверяют документальным контролем. Номер приказа, дата и сроки требуют уточнения.</w:t>
      </w:r>
    </w:p>
    <w:p>
      <w:pPr>
        <w:pStyle w:val="Heading1"/>
      </w:pPr>
      <w:r>
        <w:rPr/>
        <w:t xml:space="preserve">2 Цель выполнения, наименование, назначение и область применения изделия</w:t>
      </w:r>
    </w:p>
    <w:p>
      <w:pPr/>
      <w:r>
        <w:rPr/>
        <w:t xml:space="preserve">2.1 Цель — разработать сменную интерфейсную субплату E2/E3 и функциональный модуль PDH для подключения к платформе ДММП через коаксиальные линии двух независимых потоков E2 и одного потока E3 с обеспечением TDM-over-Packet, джиттер-буферизации и синхронизации.</w:t>
      </w:r>
    </w:p>
    <w:p>
      <w:pPr/>
      <w:r>
        <w:rPr/>
        <w:t xml:space="preserve">2.2 Аппаратная часть включает субплату, интерфейсы, защиту, трансиверы и EEPROM. Логическая часть — функциональный модуль ПЛИС базовой платы, автоматически активируемый по Board ID.</w:t>
      </w:r>
    </w:p>
    <w:p>
      <w:pPr/>
      <w:r>
        <w:rPr/>
        <w:t xml:space="preserve">2.3 Изделие устанавливают как AMC на Carrier платформы ДММП. Область применения: PDH-тракты 8 и 34 Мбит/с энергетики, железнодорожного транспорта и магистральных операторов.</w:t>
      </w:r>
    </w:p>
    <w:p>
      <w:pPr/>
      <w:r>
        <w:rPr>
          <w:i/>
        </w:rPr>
        <w:t xml:space="preserve">2.4 Проверка: состав аппаратной и логической частей, установка на Carrier и автоматическая активация по Board ID подлежат проверке осмотром, анализом РКД и функциональным испытанием.</w:t>
      </w:r>
    </w:p>
    <w:p>
      <w:pPr>
        <w:pStyle w:val="Heading1"/>
      </w:pPr>
      <w:r>
        <w:rPr/>
        <w:t xml:space="preserve">3 Технические требования к изделию</w:t>
      </w:r>
    </w:p>
    <w:p>
      <w:pPr>
        <w:pStyle w:val="Heading2"/>
      </w:pPr>
      <w:r>
        <w:rPr/>
        <w:t xml:space="preserve">3.1 Архитектура, разъёмы и кабели</w:t>
      </w:r>
    </w:p>
    <w:p>
      <w:pPr/>
      <w:r>
        <w:rPr/>
        <w:t xml:space="preserve">3.1.1 Субплата должна подключаться через B2B и содержать 3 экранированных вибростойких разъёма HARTING PushPull 09452812560 с замковой фиксацией, тракты 75 Ом, ВЧ-трансформаторы, LIU, EEPROM с Board ID 0x03 и светодиоды.</w:t>
      </w:r>
    </w:p>
    <w:p>
      <w:pPr/>
      <w:r>
        <w:rPr/>
        <w:t xml:space="preserve">3.1.2 Базовая плата должна предоставлять +12 В, +3,3 В, MMC и тактирование, а также автоматически загружать bitstream PDH из Flash.</w:t>
      </w:r>
    </w:p>
    <w:p>
      <w:pPr/>
      <w:r>
        <w:rPr/>
        <w:t xml:space="preserve">3.1.3 Каждый из разъёмов E2-1, E2-2 и E3-1 должен обслуживать отдельные TX/RX коаксиальные цепи 75 Ом.</w:t>
      </w:r>
    </w:p>
    <w:p>
      <w:pPr/>
      <w:r>
        <w:rPr/>
        <w:t xml:space="preserve">3.1.4 В комплект и РКД должны быть включены экранированные адаптеры HARTING PushPull → две вилки BNC 75 Ом / DIN 1.0/2.3 с маркировкой TX/RX. Применение BNC 50 Ом не допускается по импедансу и габаритам.</w:t>
      </w:r>
    </w:p>
    <w:p>
      <w:pPr/>
      <w:r>
        <w:rPr>
          <w:i/>
        </w:rPr>
        <w:t xml:space="preserve">3.1.5 Проверка: осмотром и анализом РКД проверяют количество, тип и фиксацию разъёмов, состав адаптеров, маркировку TX/RX и отсутствие BNC 50 Ом; измерением проверяют сопротивление трактов 75 Ом. Загрузку bitstream и Board ID 0x03 проверяют функциональным испытанием.</w:t>
      </w:r>
    </w:p>
    <w:p>
      <w:pPr>
        <w:pStyle w:val="Heading2"/>
      </w:pPr>
      <w:r>
        <w:rPr/>
        <w:t xml:space="preserve">3.2 Электрические параметры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2300"/>
        <w:gridCol w:w="3100"/>
        <w:gridCol w:w="3100"/>
      </w:tblGrid>
      <w:tr>
        <w:tc>
          <w:tcPr>
            <w:tcW w:w="23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Параметр</w:t>
            </w:r>
          </w:p>
        </w:tc>
        <w:tc>
          <w:tcPr>
            <w:tcW w:w="31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E2 (два порта)</w:t>
            </w:r>
          </w:p>
        </w:tc>
        <w:tc>
          <w:tcPr>
            <w:tcW w:w="31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E3 (один порт)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Скорость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8448 кбит/с (8,448 Мбит/с) ±30 ppm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34 368 кбит/с (34,368 Мбит/с) ±20 ppm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Код и сопротивление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HDB3, 75 Ом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HDB3, 75 Ом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Пиковое напряжение / длительность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2,37 В / 59 нс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1,0 В / 14,55 нс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Возвратные потери входа/выхода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≥18 дБ, 422–8448 кГц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≥18 дБ, 1720–34 368 кГц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Допустимое затухание кабеля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до 6 дБ на 4224 кГц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до 12 дБ на 17 184 кГц</w:t>
            </w:r>
          </w:p>
        </w:tc>
      </w:tr>
    </w:tbl>
    <w:p>
      <w:pPr/>
      <w:r>
        <w:rPr/>
        <w:t xml:space="preserve">3.2.1 Каждый порт должен иметь трансформаторную гальваноразвязку и импульсную защиту. Структура E2 должна соответствовать G.704, структура E3 — G.751, электрические параметры — G.703.</w:t>
      </w:r>
    </w:p>
    <w:p>
      <w:pPr/>
      <w:r>
        <w:rPr>
          <w:i/>
        </w:rPr>
        <w:t xml:space="preserve">3.2.2 Проверка: для каждого порта измеряют скорость, код, сопротивление, пиковое напряжение, длительность, возвратные потери и работу при указанном затухании кабеля; критерии — значения таблицы. Осмотром и анализом РКД подтверждают гальваноразвязку и импульсную защиту.</w:t>
      </w:r>
    </w:p>
    <w:p>
      <w:pPr>
        <w:pStyle w:val="Heading2"/>
      </w:pPr>
      <w:r>
        <w:rPr/>
        <w:t xml:space="preserve">3.3 Пакетная передача, синхронизация и диагностика</w:t>
      </w:r>
    </w:p>
    <w:p>
      <w:pPr/>
      <w:r>
        <w:rPr/>
        <w:t xml:space="preserve">3.3.1 Для E3 должна обеспечиваться передача SAToP по RFC 4553: полный поток с управляющим словом и контролем последовательности.</w:t>
      </w:r>
    </w:p>
    <w:p>
      <w:pPr/>
      <w:r>
        <w:rPr/>
        <w:t xml:space="preserve">3.3.2 Для E2 должна обеспечиваться E2oP на архитектуре SAToP: полный поток с минимальной фиксированной задержкой. Численное значение задержки не задано и подлежит уточнению.</w:t>
      </w:r>
    </w:p>
    <w:p>
      <w:pPr/>
      <w:r>
        <w:rPr/>
        <w:t xml:space="preserve">3.3.3 Fabric — 10GbE; применяется Strict Priority QoS. Для каждого сервиса должен быть предусмотрен джиттер-буфер 1–64 мс. При потере пакетов или аварии сети на выходе должен непрерывно формироваться AIS.</w:t>
      </w:r>
    </w:p>
    <w:p>
      <w:pPr/>
      <w:r>
        <w:rPr/>
        <w:t xml:space="preserve">3.3.4 Должны обеспечиваться пересчёт TCLK 19,44 МГц в 8,448/34,368 МГц, ACR/DCR, Holdover и Loop timing. Частота любого входного порта должна выдаваться в RX_CLK; ПЛИС/DPLL базовой платы должна преобразовывать её в 19,44 МГц для TCLK. Джиттер и вандер — по G.823.</w:t>
      </w:r>
    </w:p>
    <w:p>
      <w:pPr/>
      <w:r>
        <w:rPr/>
        <w:t xml:space="preserve">3.3.5 Должны контролироваться LOS, AIS, BPV/CV HDB3, переполнение и опустошение буфера. Для каждого порта должны обеспечиваться Local Line, Payload и Packet Loopback, а также генератор/анализатор PRBS 2^23−1 для измерения BER.</w:t>
      </w:r>
    </w:p>
    <w:p>
      <w:pPr/>
      <w:r>
        <w:rPr/>
        <w:t xml:space="preserve">3.3.6 Мощность субплаты — не более 15 Вт; мощность сборки — не более 35 Вт.</w:t>
      </w:r>
    </w:p>
    <w:p>
      <w:pPr/>
      <w:r>
        <w:rPr/>
        <w:t xml:space="preserve">3.3.7 Конструктивное исполнение — Single Full-size AMC.0; габаритные размеры 73,5 × 180,6 × 28,95 мм. Межплатное крепление — на 4–6 металлических стойках М2,5.</w:t>
      </w:r>
    </w:p>
    <w:p>
      <w:pPr/>
      <w:r>
        <w:rPr/>
        <w:t xml:space="preserve">3.3.8 Стойкость: ГОСТ РВ 20.39.304-98, группы 1.1, 1.3, 1.4.1, исполнение «О»; рабочая температура −10…+50 °C, предельная −40…+65 °C, синусоидальная вибрация 5g, удары 15g. Радиопомехи — группа 1.1.1 ГОСТ В 25803-91.</w:t>
      </w:r>
    </w:p>
    <w:p>
      <w:pPr/>
      <w:r>
        <w:rPr/>
        <w:t xml:space="preserve">3.3.9 Средняя наработка на отказ — не менее 15 000 ч; назначенный срок службы — не менее 5 лет.</w:t>
      </w:r>
    </w:p>
    <w:p>
      <w:pPr/>
      <w:r>
        <w:rPr>
          <w:i/>
        </w:rPr>
        <w:t xml:space="preserve">3.3.10 Проверка: испытаниями подтверждают SAToP/E2oP, передачу полного потока, управляющее слово и контроль последовательности, диапазон джиттер-буфера 1–64 мс, режимы синхронизации, петли, PRBS 2^23−1 и контроль диагностических состояний. При имитации потери пакетов и аварии сети проверяют непрерывное формирование AIS на выходе. Измерением проверяют мощность, размеры, количество стоек и параметры внешних воздействий. Методика проверки джиттера/вандера, BER и надежности должна быть установлена в ПМИ без введения незаданных допусков, длительностей и объёмов выборки.</w:t>
      </w:r>
    </w:p>
    <w:p>
      <w:pPr>
        <w:pStyle w:val="Heading1"/>
      </w:pPr>
      <w:r>
        <w:rPr/>
        <w:t xml:space="preserve">4 Технико-экономические требования</w:t>
      </w:r>
    </w:p>
    <w:p>
      <w:pPr/>
      <w:r>
        <w:rPr/>
        <w:t xml:space="preserve">4.1 Технико-экономические требования не предъявляются.</w:t>
      </w:r>
    </w:p>
    <w:p>
      <w:pPr>
        <w:pStyle w:val="Heading1"/>
      </w:pPr>
      <w:r>
        <w:rPr/>
        <w:t xml:space="preserve">5 Требования к видам обеспечения</w:t>
      </w:r>
    </w:p>
    <w:p>
      <w:pPr/>
      <w:r>
        <w:rPr/>
        <w:t xml:space="preserve">5.1 Нормативное обеспечение: применяют документы, приведенные в перечне применимых нормативных и справочных документов настоящего ТЗ.</w:t>
      </w:r>
    </w:p>
    <w:p>
      <w:pPr/>
      <w:r>
        <w:rPr/>
        <w:t xml:space="preserve">5.2 Метрологическое обеспечение: должны быть предусмотрены средства и методики измерения формы и амплитуды импульсов по G.703, возвратных потерь 75 Ом, джиттера по G.823 и BER. Незаданные допуски не устанавливаются.</w:t>
      </w:r>
    </w:p>
    <w:p>
      <w:pPr/>
      <w:r>
        <w:rPr/>
        <w:t xml:space="preserve">5.3 Диагностическое обеспечение: должны обеспечиваться регистрация LOS/AIS и BPV, формирование сообщений и отчётов для РМО.</w:t>
      </w:r>
    </w:p>
    <w:p>
      <w:pPr/>
      <w:r>
        <w:rPr/>
        <w:t xml:space="preserve">5.4 Программное обеспечение: должны быть предусмотрены bitstream функционального модуля для Flash базовой платы, драйверы Linux и MIB для РМО.</w:t>
      </w:r>
    </w:p>
    <w:p>
      <w:pPr/>
      <w:r>
        <w:rPr>
          <w:i/>
        </w:rPr>
        <w:t xml:space="preserve">5.5 Проверка: анализом состава РКД, программной документации и ПМИ проверяют наличие перечисленных средств, методик, bitstream, драйверов и MIB; функциональным испытанием проверяют регистрацию состояний и формирование сообщений и отчётов для РМО.</w:t>
      </w:r>
    </w:p>
    <w:p>
      <w:pPr>
        <w:pStyle w:val="Heading1"/>
      </w:pPr>
      <w:r>
        <w:rPr/>
        <w:t xml:space="preserve">6 Требования к сырью, материалам и комплектующим изделиям</w:t>
      </w:r>
    </w:p>
    <w:p>
      <w:pPr/>
      <w:r>
        <w:rPr/>
        <w:t xml:space="preserve">6.1 При создании и изготовлении изделия должен быть обеспечен приоритет отечественных материалов и комплектующих с приёмкой ОТК.</w:t>
      </w:r>
    </w:p>
    <w:p>
      <w:pPr/>
      <w:r>
        <w:rPr/>
        <w:t xml:space="preserve">6.2 При отсутствии аналогов допускается применять импортную ЭКБ промышленного температурного диапазона.</w:t>
      </w:r>
    </w:p>
    <w:p>
      <w:pPr/>
      <w:r>
        <w:rPr>
          <w:i/>
        </w:rPr>
        <w:t xml:space="preserve">6.3 Проверка: документальным контролем закупочной и приемочной документации проверяют приоритет отечественных материалов и комплектующих, приемку ОТК и, при применении импортной ЭКБ, отсутствие аналогов и промышленный температурный диапазон.</w:t>
      </w:r>
    </w:p>
    <w:p>
      <w:pPr>
        <w:pStyle w:val="Heading1"/>
      </w:pPr>
      <w:r>
        <w:rPr/>
        <w:t xml:space="preserve">7 Требования к консервации, упаковке и маркировке</w:t>
      </w:r>
    </w:p>
    <w:p>
      <w:pPr/>
      <w:r>
        <w:rPr/>
        <w:t xml:space="preserve">7.1 Маркировка изделия должна содержать децимальный номер, серийный номер, ревизию и обозначения E2-1, E2-2, E3-1.</w:t>
      </w:r>
    </w:p>
    <w:p>
      <w:pPr/>
      <w:r>
        <w:rPr/>
        <w:t xml:space="preserve">7.2 Должна быть предусмотрена индивидуальная тара с ESD-защитой.</w:t>
      </w:r>
    </w:p>
    <w:p>
      <w:pPr/>
      <w:r>
        <w:rPr/>
        <w:t xml:space="preserve">7.3 Хранение в заводской таре — не менее 1 года по ГОСТ 15150. Условия консервации, не заданные исходными данными, — [уточнить].</w:t>
      </w:r>
    </w:p>
    <w:p>
      <w:pPr/>
      <w:r>
        <w:rPr>
          <w:i/>
        </w:rPr>
        <w:t xml:space="preserve">7.4 Проверка: осмотром маркировки и тары подтверждают состав маркировочных данных и ESD-защиту; документальным контролем подтверждают срок хранения не менее 1 года по ГОСТ 15150.</w:t>
      </w:r>
    </w:p>
    <w:p>
      <w:pPr>
        <w:pStyle w:val="Heading1"/>
      </w:pPr>
      <w:r>
        <w:rPr/>
        <w:t xml:space="preserve">8 Специальные требования</w:t>
      </w:r>
    </w:p>
    <w:p>
      <w:pPr/>
      <w:r>
        <w:rPr/>
        <w:t xml:space="preserve">8.1 Телеметрия РМО (C++/Qt) должна отображать мнемосхему портов, LOS/AIS, BPV, SAToP/E2oP и источник тактирования.</w:t>
      </w:r>
    </w:p>
    <w:p>
      <w:pPr/>
      <w:r>
        <w:rPr/>
        <w:t xml:space="preserve">8.2 Должны поддерживаться команды включения/отключения передатчиков, настройки джиттер-буфера, управления петлями и PRBS.</w:t>
      </w:r>
    </w:p>
    <w:p>
      <w:pPr/>
      <w:r>
        <w:rPr>
          <w:i/>
        </w:rPr>
        <w:t xml:space="preserve">8.3 Проверка: функциональным испытанием РМО проверяют отображение всех перечисленных данных и выполнение каждой перечисленной команды с наблюдаемым изменением соответствующего состояния изделия. Конкретные параметры интерфейса РМО, не заданные исходными данными, — [уточнить].</w:t>
      </w:r>
    </w:p>
    <w:p>
      <w:pPr>
        <w:pStyle w:val="Heading2"/>
        <w:spacing w:before="480"/>
      </w:pPr>
      <w:r>
        <w:rPr/>
        <w:t xml:space="preserve">Разработчик ТЗ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2500"/>
        <w:gridCol w:w="3000"/>
        <w:gridCol w:w="1000"/>
        <w:gridCol w:w="1200"/>
      </w:tblGrid>
      <w:tr>
        <w:tc>
          <w:tcPr>
            <w:tcW w:w="25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Организация</w:t>
            </w:r>
          </w:p>
        </w:tc>
        <w:tc>
          <w:tcPr>
            <w:tcW w:w="30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Должность, инициалы, фамилия</w:t>
            </w:r>
          </w:p>
        </w:tc>
        <w:tc>
          <w:tcPr>
            <w:tcW w:w="10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Подпись</w:t>
            </w:r>
          </w:p>
        </w:tc>
        <w:tc>
          <w:tcPr>
            <w:tcW w:w="12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rPr/>
              <w:t xml:space="preserve">ООО «тушканчик»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—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</w:tr>
    </w:tbl>
    <w:p>
      <w:pPr>
        <w:pStyle w:val="Heading2"/>
        <w:spacing w:before="240"/>
      </w:pPr>
      <w:r>
        <w:rPr/>
        <w:t xml:space="preserve">СОГЛАСОВАНО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2500"/>
        <w:gridCol w:w="3000"/>
        <w:gridCol w:w="1000"/>
        <w:gridCol w:w="1200"/>
      </w:tblGrid>
      <w:tr>
        <w:tc>
          <w:tcPr>
            <w:tcW w:w="25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Организация / роль</w:t>
            </w:r>
          </w:p>
        </w:tc>
        <w:tc>
          <w:tcPr>
            <w:tcW w:w="30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Должность, инициалы, фамилия</w:t>
            </w:r>
          </w:p>
        </w:tc>
        <w:tc>
          <w:tcPr>
            <w:tcW w:w="10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Подпись</w:t>
            </w:r>
          </w:p>
        </w:tc>
        <w:tc>
          <w:tcPr>
            <w:tcW w:w="12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rPr/>
              <w:t xml:space="preserve">Заказчик (НИО заказчика)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—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rPr/>
              <w:t xml:space="preserve">Исполнитель составной части ОКР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—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rPr/>
              <w:t xml:space="preserve">Другие организации, согласующие ТЗ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/>
              <w:t xml:space="preserve">—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/>
              <w:t xml:space="preserve">[уточнить]</w:t>
            </w:r>
          </w:p>
        </w:tc>
      </w:tr>
    </w:tbl>
    <w:sectPr>
      <w:pgSz w:w="11906" w:h="16838"/>
      <w:pgMar w:top="1134" w:right="1134" w:bottom="1134" w:left="1701" w:header="567" w:footer="567" w:gutter="0"/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i/>
      </w:rPr>
      <w:t>ТЗ на составную часть ОКР «Развитие-ТСА»</w:t>
    </w:r>
  </w:p>
</w:ftr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line="360" w:lineRule="auto" w:after="120"/>
      </w:pPr>
    </w:pPrDefault>
  </w:docDefaults>
  <w:style w:type="paragraph" w:default="1" w:styleId="Normal">
    <w:name w:val="Обычный"/>
  </w:style>
  <w:style w:type="paragraph" w:styleId="Title">
    <w:name w:val="Заголовок документа"/>
    <w:basedOn w:val="Normal"/>
    <w:rPr>
      <w:b/>
      <w:sz w:val="28"/>
      <w:szCs w:val="28"/>
    </w:rPr>
    <w:pPr>
      <w:jc w:val="center"/>
      <w:spacing w:after="240"/>
    </w:pPr>
  </w:style>
  <w:style w:type="paragraph" w:styleId="Heading1">
    <w:name w:val="Заголовок 1"/>
    <w:basedOn w:val="Normal"/>
    <w:rPr>
      <w:b/>
      <w:sz w:val="28"/>
      <w:szCs w:val="28"/>
    </w:rPr>
    <w:pPr>
      <w:keepNext/>
      <w:spacing w:before="240" w:after="120"/>
    </w:pPr>
  </w:style>
  <w:style w:type="paragraph" w:styleId="Heading2">
    <w:name w:val="Заголовок 2"/>
    <w:basedOn w:val="Normal"/>
    <w:rPr>
      <w:b/>
    </w:rPr>
    <w:pPr>
      <w:keepNext/>
      <w:spacing w:before="160" w:after="80"/>
    </w:pPr>
  </w:style>
  <w:style w:type="paragraph" w:styleId="ListBullet">
    <w:name w:val="Маркированный список"/>
    <w:basedOn w:val="Normal"/>
    <w:pPr>
      <w:ind w:left="360" w:hanging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— Развитие-ТСА</dc:title>
  <dc:creator>ООО «тушканчик»</dc:creator>
  <dc:language>ru-RU</dc:language>
</cp:coreProperties>
</file>