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xml="http://www.w3.org/XML/1998/namespace">
  <w:body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pPr>
              <w:pStyle w:val="TableText"/>
            </w:pPr>
            <w:r>
              <w:t xml:space="preserve">СОГЛАСОВАНО</w:t>
            </w:r>
            <w:r>
              <w:t xml:space="preserve">должность, организация заказчика</w:t>
            </w:r>
            <w:r>
              <w:t xml:space="preserve">________________ / [уточнить] /</w:t>
            </w:r>
            <w:r>
              <w:t xml:space="preserve">«___» ____________ 20__ г.</w:t>
            </w:r>
            <w:r>
              <w:t xml:space="preserve">
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СОГЛАСОВАНО</w:t>
            </w:r>
            <w:r>
              <w:t xml:space="preserve">должность, исполнитель составной части ОКР</w:t>
            </w:r>
            <w:r>
              <w:t xml:space="preserve">________________ / [уточнить] /</w:t>
            </w:r>
            <w:r>
              <w:t xml:space="preserve">«___» ____________ 20__ г.</w:t>
            </w:r>
            <w:r>
              <w:t xml:space="preserve">
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УТВЕРЖДАЮ</w:t>
            </w:r>
            <w:r>
              <w:t xml:space="preserve">должность, головной исполнитель ОКР</w:t>
            </w:r>
            <w:r>
              <w:t xml:space="preserve">________________ / [уточнить] /</w:t>
            </w:r>
            <w:r>
              <w:t xml:space="preserve">«___» ____________ 20__ г.</w:t>
            </w:r>
          </w:p>
        </w:tc>
      </w:tr>
    </w:tbl>
    <w:p>
      <w:pPr>
        <w:pStyle w:val="Normal"/>
      </w:pPr>
      <w:r>
        <w:t xml:space="preserve">ТЕХНИЧЕСКОЕ ЗАДАНИЕ</w:t>
      </w:r>
      <w:r>
        <w:t xml:space="preserve">НА СОСТАВНУЮ ЧАСТЬ</w:t>
      </w:r>
      <w:r>
        <w:t xml:space="preserve">ОПЫТНО-КОНСТРУКТОРСКОЙ РАБОТЫ</w:t>
      </w:r>
    </w:p>
    <w:p>
      <w:pPr>
        <w:pStyle w:val="Normal"/>
      </w:pPr>
      <w:r>
        <w:t xml:space="preserve">Разработка сменной интерфейсной субплаты 4×IEEE C37.94</w:t>
      </w:r>
      <w:r>
        <w:t xml:space="preserve">и функционального модуля релейной защиты</w:t>
      </w:r>
      <w:r>
        <w:t xml:space="preserve">для универсального базового модуля AMC семейства ДММП</w:t>
      </w:r>
    </w:p>
    <w:p>
      <w:pPr>
        <w:pStyle w:val="Normal"/>
      </w:pPr>
      <w:r>
        <w:t xml:space="preserve">Шифр ОКР: «Развитие-ТСА»</w:t>
      </w:r>
      <w:r>
        <w:t xml:space="preserve">Обозначение составной части изделия: [уточнить]</w:t>
      </w:r>
      <w:r>
        <w:t xml:space="preserve">Регистрационный номер: [уточнить]</w:t>
      </w:r>
    </w:p>
    <w:p>
      <w:pPr>
        <w:pStyle w:val="Normal"/>
      </w:pPr>
      <w:r>
        <w:t xml:space="preserve">Действует с дополнением: [уточнить]</w:t>
      </w:r>
    </w:p>
    <w:p>
      <w:r>
        <w:br w:type="page"/>
      </w:r>
    </w:p>
    <w:p>
      <w:pPr>
        <w:pStyle w:val="Heading1"/>
        <w:jc w:val="center"/>
      </w:pPr>
      <w:r>
        <w:t xml:space="preserve">ЛИСТ СОГЛАСОВАНИЯ</w:t>
      </w:r>
    </w:p>
    <w:p>
      <w:pPr>
        <w:pStyle w:val="Normal"/>
      </w:pPr>
      <w:r>
        <w:t xml:space="preserve">Техническое задание на составную часть опытно-конструкторской работы «Развитие-ТСА» подлежит согласованию и утверждению в порядке, установленном для ТЗ на составную часть ОКР. Состав организаций, должности, фамилии, подписи и даты, не заданные исходными данными, подлежат уточнению.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pPr>
              <w:pStyle w:val="TableText"/>
            </w:pPr>
            <w:r>
              <w:t xml:space="preserve">Роль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Организация / должность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Подпись, инициалы, фамилия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Дата</w:t>
            </w:r>
            <w:r>
              <w:t xml:space="preserve">
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Заказчик (или НИО заказчика)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[уточнить]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[уточнить]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[уточнить]</w:t>
            </w:r>
            <w:r>
              <w:t xml:space="preserve">
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Исполнитель составной части ОКР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[организация-исполнитель]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[уточнить]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[уточнить]</w:t>
            </w:r>
            <w:r>
              <w:t xml:space="preserve">
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Головной исполнитель ОКР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[уточнить]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[уточнить]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[уточнить]</w:t>
            </w:r>
            <w:r>
              <w:t xml:space="preserve">
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Другие согласующие организации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[уточнить при необходимости]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[уточнить]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[уточнить]</w:t>
            </w:r>
          </w:p>
        </w:tc>
      </w:tr>
    </w:tbl>
    <w:p>
      <w:pPr>
        <w:pStyle w:val="Normal"/>
      </w:pPr>
      <w:r>
        <w:t xml:space="preserve">Примечание — поля [уточнить] оставлены только для реквизитов, отсутствующих в исходных данных.</w:t>
      </w:r>
    </w:p>
    <w:p>
      <w:r>
        <w:br w:type="page"/>
      </w:r>
    </w:p>
    <w:p>
      <w:pPr>
        <w:pStyle w:val="Heading1"/>
        <w:jc w:val="center"/>
      </w:pPr>
      <w:r>
        <w:t xml:space="preserve">ОБОЗНАЧЕНИЯ, СОКРАЩЕНИЯ И ТЕРМИНЫ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pPr>
              <w:pStyle w:val="TableText"/>
            </w:pPr>
            <w:r>
              <w:t xml:space="preserve">Обозначение / сокращение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Расшифровка или значение</w:t>
            </w:r>
            <w:r>
              <w:t xml:space="preserve">
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AMC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Advanced Mezzanine Card; форм-фактор и модульная платформа, применяемые в составе изделия.</w:t>
            </w:r>
            <w:r>
              <w:t xml:space="preserve">
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ДММП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Обозначение семейства базовых модулей; полная расшифровка: [уточнить].</w:t>
            </w:r>
            <w:r>
              <w:t xml:space="preserve">
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ПЛИС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Программируемая логическая интегральная схема.</w:t>
            </w:r>
            <w:r>
              <w:t xml:space="preserve">
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B2B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Board-to-Board, межплатное соединение.</w:t>
            </w:r>
            <w:r>
              <w:t xml:space="preserve">
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Board ID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Идентификатор платы.</w:t>
            </w:r>
            <w:r>
              <w:t xml:space="preserve">
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MMC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Management Module Controller, контроллер управления модулем.</w:t>
            </w:r>
            <w:r>
              <w:t xml:space="preserve">
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РМО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Рабочее место оператора.</w:t>
            </w:r>
            <w:r>
              <w:t xml:space="preserve">
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ОКР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Опытно-конструкторская работа.</w:t>
            </w:r>
            <w:r>
              <w:t xml:space="preserve">
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РКД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Рабочая конструкторская документация.</w:t>
            </w:r>
            <w:r>
              <w:t xml:space="preserve">
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ПМИ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Программа и методика испытаний.</w:t>
            </w:r>
            <w:r>
              <w:t xml:space="preserve">
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РЗА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Релейная защита и автоматика.</w:t>
            </w:r>
            <w:r>
              <w:t xml:space="preserve">
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ДЗЛ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Дифференциальная защита линии.</w:t>
            </w:r>
            <w:r>
              <w:t xml:space="preserve">
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ДФЗ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Дифференциально-фазная защита.</w:t>
            </w:r>
            <w:r>
              <w:t xml:space="preserve">
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CDR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Восстановление тактовой частоты и данных.</w:t>
            </w:r>
            <w:r>
              <w:t xml:space="preserve">
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DDM/DOM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Цифровой диагностический мониторинг / мониторинг оптических параметров.</w:t>
            </w:r>
            <w:r>
              <w:t xml:space="preserve">
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LOF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Потеря кадровой синхронизации.</w:t>
            </w:r>
            <w:r>
              <w:t xml:space="preserve">
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LOS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Потеря оптического сигнала.</w:t>
            </w:r>
            <w:r>
              <w:t xml:space="preserve">
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P2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Hitless 1+1, резервирование двумя идентичными копиями по независимым трактам.</w:t>
            </w:r>
            <w:r>
              <w:t xml:space="preserve">
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PDV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Вариация задержки пакетов.</w:t>
            </w:r>
            <w:r>
              <w:t xml:space="preserve">
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PRBS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Псевдослучайная двоичная последовательность.</w:t>
            </w:r>
            <w:r>
              <w:t xml:space="preserve">
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QoS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Качество обслуживания.</w:t>
            </w:r>
            <w:r>
              <w:t xml:space="preserve">
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 xml:space="preserve">ПРИМЕНИМЫЕ НОРМАТИВНЫЕ И СПРАВОЧНЫЕ ДОКУМЕНТЫ</w:t>
      </w:r>
    </w:p>
    <w:p>
      <w:pPr>
        <w:pStyle w:val="Normal"/>
      </w:pPr>
      <w:r>
        <w:t xml:space="preserve">При разработке и проверке составной части применяются следующие документы в части, относящейся к установленным требованиям:</w:t>
      </w:r>
    </w:p>
    <w:p>
      <w:pPr/>
      <w:r>
        <w:rPr>
          <w:b/>
        </w:rPr>
        <w:t xml:space="preserve">• </w:t>
      </w:r>
      <w:r>
        <w:t xml:space="preserve">ГОСТ 15.016-2016 «Система разработки и постановки продукции на производство. Техническое задание. Требования к содержанию и оформлению» — в применимой части разделов 6.1, 6.2 и 7.1.</w:t>
      </w:r>
    </w:p>
    <w:p>
      <w:pPr/>
      <w:r>
        <w:rPr>
          <w:b/>
        </w:rPr>
        <w:t xml:space="preserve">• </w:t>
      </w:r>
      <w:r>
        <w:t xml:space="preserve">IEEE C37.94-2017; совместимость с IEEE C37.94-2002.</w:t>
      </w:r>
    </w:p>
    <w:p>
      <w:pPr/>
      <w:r>
        <w:rPr>
          <w:b/>
        </w:rPr>
        <w:t xml:space="preserve">• </w:t>
      </w:r>
      <w:r>
        <w:t xml:space="preserve">ITU-T G.823.</w:t>
      </w:r>
    </w:p>
    <w:p>
      <w:pPr/>
      <w:r>
        <w:rPr>
          <w:b/>
        </w:rPr>
        <w:t xml:space="preserve">• </w:t>
      </w:r>
      <w:r>
        <w:t xml:space="preserve">SFF-8472.</w:t>
      </w:r>
    </w:p>
    <w:p>
      <w:pPr/>
      <w:r>
        <w:rPr>
          <w:b/>
        </w:rPr>
        <w:t xml:space="preserve">• </w:t>
      </w:r>
      <w:r>
        <w:t xml:space="preserve">IEEE 802.1p/Q.</w:t>
      </w:r>
    </w:p>
    <w:p>
      <w:pPr/>
      <w:r>
        <w:rPr>
          <w:b/>
        </w:rPr>
        <w:t xml:space="preserve">• </w:t>
      </w:r>
      <w:r>
        <w:t xml:space="preserve">PICMG AMC.0 R2.0.</w:t>
      </w:r>
    </w:p>
    <w:p>
      <w:pPr/>
      <w:r>
        <w:rPr>
          <w:b/>
        </w:rPr>
        <w:t xml:space="preserve">• </w:t>
      </w:r>
      <w:r>
        <w:t xml:space="preserve">ГОСТ РВ 20.39.304-98.</w:t>
      </w:r>
    </w:p>
    <w:p>
      <w:pPr/>
      <w:r>
        <w:rPr>
          <w:b/>
        </w:rPr>
        <w:t xml:space="preserve">• </w:t>
      </w:r>
      <w:r>
        <w:t xml:space="preserve">ГОСТ В 25803-91.</w:t>
      </w:r>
    </w:p>
    <w:p>
      <w:pPr/>
      <w:r>
        <w:rPr>
          <w:b/>
        </w:rPr>
        <w:t xml:space="preserve">• </w:t>
      </w:r>
      <w:r>
        <w:t xml:space="preserve">ГОСТ 2.114-2016.</w:t>
      </w:r>
    </w:p>
    <w:p>
      <w:pPr/>
      <w:r>
        <w:rPr>
          <w:b/>
        </w:rPr>
        <w:t xml:space="preserve">• </w:t>
      </w:r>
      <w:r>
        <w:t xml:space="preserve">ГОСТ РВ 15.201-2003.</w:t>
      </w:r>
    </w:p>
    <w:p>
      <w:pPr/>
      <w:r>
        <w:rPr>
          <w:b/>
        </w:rPr>
        <w:t xml:space="preserve">• </w:t>
      </w:r>
      <w:r>
        <w:t xml:space="preserve">ГОСТ 15150.</w:t>
      </w:r>
    </w:p>
    <w:p>
      <w:pPr>
        <w:pStyle w:val="Normal"/>
      </w:pPr>
      <w:r>
        <w:t xml:space="preserve">Примечание — обозначения и наименования документов приведены по исходным данным; сведения о редакциях, заменах и изменениях, кроме прямо заданных в исходных данных, не устанавливаются.</w:t>
      </w:r>
    </w:p>
    <w:p>
      <w:pPr>
        <w:pStyle w:val="Heading1"/>
        <w:jc w:val="center"/>
      </w:pPr>
      <w:r>
        <w:t xml:space="preserve">ТЕХНИЧЕСКОЕ ЗАДАНИЕ</w:t>
      </w:r>
    </w:p>
    <w:p>
      <w:pPr>
        <w:pStyle w:val="Heading2"/>
      </w:pPr>
      <w:r>
        <w:t xml:space="preserve">1 Наименование, шифр, основание, исполнители и сроки ОКР</w:t>
      </w:r>
    </w:p>
    <w:p>
      <w:pPr>
        <w:pStyle w:val="Normal"/>
      </w:pPr>
      <w:r>
        <w:t xml:space="preserve">1.1.</w:t>
      </w:r>
      <w:r>
        <w:t xml:space="preserve"> Наименование составной части ОКР: сменная интерфейсная субплата 4×IEEE C37.94 и функциональный модуль релейной защиты для универсального базового модуля AMC семейства ДММП.</w:t>
      </w:r>
    </w:p>
    <w:p>
      <w:pPr>
        <w:pStyle w:val="Normal"/>
      </w:pPr>
      <w:r>
        <w:t xml:space="preserve">1.2.</w:t>
      </w:r>
      <w:r>
        <w:t xml:space="preserve"> Шифр ОКР: «Развитие-ТСА».</w:t>
      </w:r>
    </w:p>
    <w:p>
      <w:pPr>
        <w:pStyle w:val="Normal"/>
      </w:pPr>
      <w:r>
        <w:t xml:space="preserve">1.3.</w:t>
      </w:r>
      <w:r>
        <w:t xml:space="preserve"> Основание выполнения ОКР: приказ об открытии инициативной ОКР № [уточнить] от [уточнить].</w:t>
      </w:r>
    </w:p>
    <w:p>
      <w:pPr>
        <w:pStyle w:val="Normal"/>
      </w:pPr>
      <w:r>
        <w:t xml:space="preserve">1.4.</w:t>
      </w:r>
      <w:r>
        <w:t xml:space="preserve"> Исполнитель: [организация-исполнитель]. Головной исполнитель ОКР: [уточнить].</w:t>
      </w:r>
    </w:p>
    <w:p>
      <w:pPr>
        <w:pStyle w:val="Normal"/>
      </w:pPr>
      <w:r>
        <w:t xml:space="preserve">1.5.</w:t>
      </w:r>
      <w:r>
        <w:t xml:space="preserve"> Сроки выполнения устанавливаются в соответствии с утверждённым планом-графиком разработки РКД, программной документации, изготовления образцов и испытаний; календарные даты: [уточнить].</w:t>
      </w:r>
    </w:p>
    <w:p>
      <w:pPr>
        <w:pStyle w:val="Normal"/>
      </w:pPr>
      <w:r>
        <w:t xml:space="preserve">Проверка: инспекция титульных и плановых документов; должны быть указаны приказ, исполнитель и утверждённый план-график. Отсутствующие реквизиты блокируют окончательное оформление.</w:t>
      </w:r>
    </w:p>
    <w:p>
      <w:pPr>
        <w:pStyle w:val="Heading2"/>
      </w:pPr>
      <w:r>
        <w:t xml:space="preserve">2 Цель выполнения, наименование, назначение и область применения изделия</w:t>
      </w:r>
    </w:p>
    <w:p>
      <w:pPr>
        <w:pStyle w:val="Normal"/>
      </w:pPr>
      <w:r>
        <w:t xml:space="preserve">2.1.</w:t>
      </w:r>
      <w:r>
        <w:t xml:space="preserve"> Цель — разработать сменную интерфейсную субплату 4×IEEE C37.94 и функциональный модуль релейной защиты для универсального базового модуля AMC семейства ДММП, обеспечивающие оптические каналы терминалов РЗА/ДЗЛ и ДФЗ, противоаварийной автоматики и регистраторов аварийных событий подстанций ДММП.</w:t>
      </w:r>
    </w:p>
    <w:p>
      <w:pPr>
        <w:pStyle w:val="Normal"/>
      </w:pPr>
      <w:r>
        <w:t xml:space="preserve">2.2.</w:t>
      </w:r>
      <w:r>
        <w:t xml:space="preserve"> Изделие должно обеспечивать прозрачную передачу N×64 кбит/с с фиксированной низкой задержкой, симметрией, резервированием P2 и безопасным аварийным поведением.</w:t>
      </w:r>
    </w:p>
    <w:p>
      <w:pPr>
        <w:pStyle w:val="Normal"/>
      </w:pPr>
      <w:r>
        <w:t xml:space="preserve">2.3.</w:t>
      </w:r>
      <w:r>
        <w:t xml:space="preserve"> Аппаратная часть включает субплату, оптические интерфейсы, защитные цепи, трансиверы и EEPROM. Логическая часть включает функциональный модуль ПЛИС базовой платы, автоматически активируемый по Board ID. AMC устанавливается на Carrier платформы ДММП.</w:t>
      </w:r>
    </w:p>
    <w:p>
      <w:pPr>
        <w:pStyle w:val="Heading2"/>
      </w:pPr>
      <w:r>
        <w:t xml:space="preserve">3 Технические требования к изделию</w:t>
      </w:r>
    </w:p>
    <w:p>
      <w:pPr>
        <w:pStyle w:val="Heading3"/>
      </w:pPr>
      <w:r>
        <w:t xml:space="preserve">3.1 Архитектура и оптические интерфейсы</w:t>
      </w:r>
    </w:p>
    <w:p>
      <w:pPr>
        <w:pStyle w:val="Normal"/>
      </w:pPr>
      <w:r>
        <w:t xml:space="preserve">3.1.1.</w:t>
      </w:r>
      <w:r>
        <w:t xml:space="preserve"> Субплата должна иметь четыре независимых оптических порта LC/SFP, трансиверы 850/1310 нм с CDR, защитные цепи, DDM/DOM, EEPROM с Board ID </w:t>
      </w:r>
      <w:r>
        <w:rPr>
          <w:b/>
        </w:rPr>
        <w:t xml:space="preserve">0x05</w:t>
      </w:r>
      <w:r>
        <w:t xml:space="preserve"> и индикацию.</w:t>
      </w:r>
    </w:p>
    <w:p>
      <w:pPr>
        <w:pStyle w:val="Normal"/>
      </w:pPr>
      <w:r>
        <w:t xml:space="preserve">3.1.2.</w:t>
      </w:r>
      <w:r>
        <w:t xml:space="preserve"> Связь с базовой платой должна выполняться по B2B. Базовая плата должна предоставлять +12 В, +3,3 В, MMC, тактирование и автоматическую загрузку bitstream из Flash по Board ID.</w:t>
      </w:r>
    </w:p>
    <w:p>
      <w:pPr>
        <w:pStyle w:val="Normal"/>
      </w:pPr>
      <w:r>
        <w:t xml:space="preserve">3.1.3.</w:t>
      </w:r>
      <w:r>
        <w:t xml:space="preserve"> Должны применяться четыре экранированные корзины SFP / дуплексные LC с отдельными волокнами TX/RX. Для оптики 850 нм должны поддерживаться MM 50/125 или 62,5/125 мкм на расстоянии до 2 км. Для оптики 1310 нм — SM 9/125 мкм на расстоянии 20–40 км. Альтернативы LC/SFP сохраняются; окончательное исполнение: [уточнить].</w:t>
      </w:r>
    </w:p>
    <w:p>
      <w:pPr>
        <w:pStyle w:val="Normal"/>
      </w:pPr>
      <w:r>
        <w:t xml:space="preserve">3.1.4.</w:t>
      </w:r>
      <w:r>
        <w:t xml:space="preserve"> Для каждого порта должны поддерживаться линии TX_DISABLE, TX_FAULT, RX_LOS и опрос DDM/DOM по I2C согласно SFF-8472 с контролем мощности TX/RX, температуры и тока лазера и передачей телеметрии в РМО.</w:t>
      </w:r>
    </w:p>
    <w:p>
      <w:pPr>
        <w:pStyle w:val="Normal"/>
      </w:pPr>
      <w:r>
        <w:t xml:space="preserve">3.1.5.</w:t>
      </w:r>
      <w:r>
        <w:t xml:space="preserve"> На каждом порту независимо должно поддерживаться N = 1…12 каналов по 64 кбит/с; полезная скорость — 64–768 кбит/с; кадровый поток — 2048 кбит/с. Передача должна соответствовать IEEE C37.94-2017 с совместимостью с IEEE C37.94-2002, без изменения или инверсии пользовательских битов.</w:t>
      </w:r>
    </w:p>
    <w:p>
      <w:pPr>
        <w:pStyle w:val="Normal"/>
      </w:pPr>
      <w:r>
        <w:t xml:space="preserve">Проверка: осмотр схемы и конфигурации; измерение скоростей, числа каналов, оптических параметров и телеметрии; испытание совместимости с IEEE C37.94-2017/2002 и побитное сравнение переданных данных. Границы 20–40 км, окончательное исполнение оптики и условия проверки альтернатив [уточнить] согласно ПМИ.</w:t>
      </w:r>
    </w:p>
    <w:p>
      <w:pPr>
        <w:pStyle w:val="Heading3"/>
      </w:pPr>
      <w:r>
        <w:t xml:space="preserve">3.2 Пакетная передача, резервирование и безопасные состояния</w:t>
      </w:r>
    </w:p>
    <w:p>
      <w:pPr>
        <w:pStyle w:val="Normal"/>
      </w:pPr>
      <w:r>
        <w:t xml:space="preserve">3.2.1.</w:t>
      </w:r>
      <w:r>
        <w:t xml:space="preserve"> C37.94-over-Packet должен использовать Ethernet L2, фиксированный период пакетизации, Fabric 10GbE и Strict Priority QoS по IEEE 802.1p/Q. L3/UDP/IP допускается при необходимости с процессорным ядром SoC FPGA либо со статической аппаратной подстановкой заголовка.</w:t>
      </w:r>
    </w:p>
    <w:p>
      <w:pPr>
        <w:pStyle w:val="Normal"/>
      </w:pPr>
      <w:r>
        <w:t xml:space="preserve">3.2.2.</w:t>
      </w:r>
      <w:r>
        <w:t xml:space="preserve"> Задержка должна быть фиксированной и детерминированной. Асимметрия прямого и обратного направлений должна быть не более ±10 мкс во всём диапазоне температур и сетевой нагрузки. Независимый джиттер-буфер должен компенсировать PDV без выпадения кадров.</w:t>
      </w:r>
    </w:p>
    <w:p>
      <w:pPr>
        <w:pStyle w:val="Normal"/>
      </w:pPr>
      <w:r>
        <w:t xml:space="preserve">3.2.3.</w:t>
      </w:r>
      <w:r>
        <w:t xml:space="preserve"> Ретрансляция потерянных пакетов запрещается. Единичный пропуск должен фиксироваться как ошибка и обозначаться Yellow Alarm / LOF. Превышение настраиваемого порога последовательных потерь должно вызывать Laser Off. Число потерь и абсолютная задержка: [уточнить].</w:t>
      </w:r>
    </w:p>
    <w:p>
      <w:pPr>
        <w:pStyle w:val="Normal"/>
      </w:pPr>
      <w:r>
        <w:t xml:space="preserve">3.2.4.</w:t>
      </w:r>
      <w:r>
        <w:t xml:space="preserve"> В режиме P2 (Hitless 1+1) должны передаваться две идентичные копии по независимым трактам с поштучной дедупликацией и без потери битов при отказе одного пути. При LOS/LOF либо потере сетевого тракта должен формироваться Yellow Alarm или выполняться немедленный Laser Off. Недостоверные, случайные и повторно воспроизведённые устаревшие данные РЗА не допускаются. Условия выбора безопасного состояния при сохранении второго пути: [уточнить].</w:t>
      </w:r>
    </w:p>
    <w:p>
      <w:pPr>
        <w:pStyle w:val="Normal"/>
      </w:pPr>
      <w:r>
        <w:t xml:space="preserve">Проверка: тестирование при нормальной передаче, сетевой нагрузке, потере единичных и последовательных пакетов, LOS/LOF и отказе одного пути; измерение задержки и асимметрии. Критерии — сохранение битов, отсутствие ретрансляции, заданные Yellow Alarm / LOF / Laser Off и предел ±10 мкс. Порог последовательных потерь, абсолютная задержка и логика выбора безопасного состояния блокируют полноту ПМИ до уточнения.</w:t>
      </w:r>
    </w:p>
    <w:p>
      <w:pPr>
        <w:pStyle w:val="Heading3"/>
      </w:pPr>
      <w:r>
        <w:t xml:space="preserve">3.3 Тактирование, диагностика и конструкция</w:t>
      </w:r>
    </w:p>
    <w:p>
      <w:pPr>
        <w:pStyle w:val="Normal"/>
      </w:pPr>
      <w:r>
        <w:t xml:space="preserve">3.3.1.</w:t>
      </w:r>
      <w:r>
        <w:t xml:space="preserve"> Для каждого порта должны поддерживаться режимы: Loop timing от входного сигнала, TCLK 19,44 МГц, PTPv2 и локальный Holdover. Восстановленные 2048 кГц выбранного порта должны выдаваться в RX_CLK. Джиттер и вандер — по ITU-T G.823.</w:t>
      </w:r>
    </w:p>
    <w:p>
      <w:pPr>
        <w:pStyle w:val="Normal"/>
      </w:pPr>
      <w:r>
        <w:t xml:space="preserve">3.3.2.</w:t>
      </w:r>
      <w:r>
        <w:t xml:space="preserve"> Должны контролироваться LOS, LOF, Yellow Alarm, битовые ошибки и DDM. На каждом порту должны быть Optical Loopback, Payload Loopback и Ethernet Packet Loopback; генератор/анализатор PRBS 2</w:t>
      </w:r>
      <w:r>
        <w:rPr>
          <w:vertAlign w:val="superscript"/>
        </w:rPr>
        <w:t xml:space="preserve">15</w:t>
      </w:r>
      <w:r>
        <w:t xml:space="preserve">−1 и 2</w:t>
      </w:r>
      <w:r>
        <w:rPr>
          <w:vertAlign w:val="superscript"/>
        </w:rPr>
        <w:t xml:space="preserve">23</w:t>
      </w:r>
      <w:r>
        <w:t xml:space="preserve">−1.</w:t>
      </w:r>
    </w:p>
    <w:p>
      <w:pPr>
        <w:pStyle w:val="Normal"/>
      </w:pPr>
      <w:r>
        <w:t xml:space="preserve">3.3.3.</w:t>
      </w:r>
      <w:r>
        <w:t xml:space="preserve"> Мощность субплаты должна быть не более 12 Вт, сборок с базовой платой — не более 35 Вт.</w:t>
      </w:r>
    </w:p>
    <w:p>
      <w:pPr>
        <w:pStyle w:val="Normal"/>
      </w:pPr>
      <w:r>
        <w:t xml:space="preserve">3.3.4.</w:t>
      </w:r>
      <w:r>
        <w:t xml:space="preserve"> Конструкция — Single Full-size AMC.0, 73,5 × 180,6 × 28,95 мм; межплатное крепление — на 4–6 металлических стойках М2,5.</w:t>
      </w:r>
    </w:p>
    <w:p>
      <w:pPr>
        <w:pStyle w:val="Normal"/>
      </w:pPr>
      <w:r>
        <w:t xml:space="preserve">3.3.5.</w:t>
      </w:r>
      <w:r>
        <w:t xml:space="preserve"> Стойкость должна соответствовать ГОСТ РВ 20.39.304-98, группы 1.1, 1.3, 1.4.1, исполнение «О». Рабочая температура: −10…+50 °C; предельная: −40…+65 °C; синусоидальная вибрация: 5g; удары: 15g. Радиопомехи — группа 1.1.1 ГОСТ В 25803-91.</w:t>
      </w:r>
    </w:p>
    <w:p>
      <w:pPr>
        <w:pStyle w:val="Normal"/>
      </w:pPr>
      <w:r>
        <w:t xml:space="preserve">3.3.6.</w:t>
      </w:r>
      <w:r>
        <w:t xml:space="preserve"> MTBF — не менее 15 000 ч; назначенный срок службы — не менее 20 лет.</w:t>
      </w:r>
    </w:p>
    <w:p>
      <w:pPr>
        <w:pStyle w:val="Normal"/>
      </w:pPr>
      <w:r>
        <w:t xml:space="preserve">Проверка: инспекция, измерение, анализ и испытания по соответствующим ПМИ; критерии — заданные режимы, пределы мощности, габариты, внешние воздействия, MTBF и срок службы. Допуски измерений для количественных требований и метод оценки MTBF [уточнить], если они не установлены применимым документом или ПМИ.</w:t>
      </w:r>
    </w:p>
    <w:p>
      <w:pPr>
        <w:pStyle w:val="Heading2"/>
      </w:pPr>
      <w:r>
        <w:t xml:space="preserve">4 Технико-экономические требования</w:t>
      </w:r>
    </w:p>
    <w:p>
      <w:pPr>
        <w:pStyle w:val="Normal"/>
      </w:pPr>
      <w:r>
        <w:t xml:space="preserve">4.1.</w:t>
      </w:r>
      <w:r>
        <w:t xml:space="preserve"> Требования не предъявляются.</w:t>
      </w:r>
    </w:p>
    <w:p>
      <w:pPr>
        <w:pStyle w:val="Heading2"/>
      </w:pPr>
      <w:r>
        <w:t xml:space="preserve">5 Требования к видам обеспечения</w:t>
      </w:r>
    </w:p>
    <w:p>
      <w:pPr>
        <w:pStyle w:val="Heading3"/>
      </w:pPr>
      <w:r>
        <w:t xml:space="preserve">5.1 Нормативное обеспечение</w:t>
      </w:r>
    </w:p>
    <w:p>
      <w:pPr>
        <w:pStyle w:val="Normal"/>
      </w:pPr>
      <w:r>
        <w:t xml:space="preserve">5.1.1.</w:t>
      </w:r>
      <w:r>
        <w:t xml:space="preserve"> Разработка, РКД, программная документация и проверки должны выполняться с применением документов, перечисленных в разделе «Применимые нормативные и справочные документы», в относящейся к изделию части.</w:t>
      </w:r>
    </w:p>
    <w:p>
      <w:pPr>
        <w:pStyle w:val="Heading3"/>
      </w:pPr>
      <w:r>
        <w:t xml:space="preserve">5.2 Метрологическое обеспечение</w:t>
      </w:r>
    </w:p>
    <w:p>
      <w:pPr>
        <w:pStyle w:val="Normal"/>
      </w:pPr>
      <w:r>
        <w:t xml:space="preserve">5.2.1.</w:t>
      </w:r>
      <w:r>
        <w:t xml:space="preserve"> Должны быть предусмотрены средства и методики измерения оптической мощности, джиттера по ITU-T G.823, сквозной задержки и асимметрии. Незаданные допуски не устанавливаются.</w:t>
      </w:r>
    </w:p>
    <w:p>
      <w:pPr>
        <w:pStyle w:val="Heading3"/>
      </w:pPr>
      <w:r>
        <w:t xml:space="preserve">5.3 Диагностическое обеспечение</w:t>
      </w:r>
    </w:p>
    <w:p>
      <w:pPr>
        <w:pStyle w:val="Normal"/>
      </w:pPr>
      <w:r>
        <w:t xml:space="preserve">5.3.1.</w:t>
      </w:r>
      <w:r>
        <w:t xml:space="preserve"> Должны регистрироваться DDM, LOS/LOF/Yellow Alarm и статистики задержки; должны формироваться сообщения и отчёты для РМО.</w:t>
      </w:r>
    </w:p>
    <w:p>
      <w:pPr>
        <w:pStyle w:val="Heading3"/>
      </w:pPr>
      <w:r>
        <w:t xml:space="preserve">5.4 Программное обеспечение</w:t>
      </w:r>
    </w:p>
    <w:p>
      <w:pPr>
        <w:pStyle w:val="Normal"/>
      </w:pPr>
      <w:r>
        <w:t xml:space="preserve">5.4.1.</w:t>
      </w:r>
      <w:r>
        <w:t xml:space="preserve"> Должны быть разработаны bitstream функционального модуля для Flash базовой платы, драйверы Linux и MIB для РМО.</w:t>
      </w:r>
    </w:p>
    <w:p>
      <w:pPr>
        <w:pStyle w:val="Normal"/>
      </w:pPr>
      <w:r>
        <w:t xml:space="preserve">Проверка: инспекция состава документации и программных компонентов, анализ интерфейсов и измерения по 3.1–3.3; критерии — наличие перечисленных средств, регистраций, сообщений, отчётов, bitstream, драйверов Linux и MIB. Форматы и состав отчётов, а также допуски измерений [уточнить].</w:t>
      </w:r>
    </w:p>
    <w:p>
      <w:pPr>
        <w:pStyle w:val="Heading2"/>
      </w:pPr>
      <w:r>
        <w:t xml:space="preserve">6 Требования к сырью, материалам и комплектующим изделиям</w:t>
      </w:r>
    </w:p>
    <w:p>
      <w:pPr>
        <w:pStyle w:val="Normal"/>
      </w:pPr>
      <w:r>
        <w:t xml:space="preserve">6.1.</w:t>
      </w:r>
      <w:r>
        <w:t xml:space="preserve"> Должен предусматриваться приоритет отечественных материалов и комплектующих с приёмкой ОТК.</w:t>
      </w:r>
    </w:p>
    <w:p>
      <w:pPr>
        <w:pStyle w:val="Normal"/>
      </w:pPr>
      <w:r>
        <w:t xml:space="preserve">6.2.</w:t>
      </w:r>
      <w:r>
        <w:t xml:space="preserve"> При отсутствии аналогов допускается импортная ЭКБ промышленного температурного диапазона.</w:t>
      </w:r>
    </w:p>
    <w:p>
      <w:pPr>
        <w:pStyle w:val="Normal"/>
      </w:pPr>
      <w:r>
        <w:t xml:space="preserve">Проверка: инспекция ведомости покупных изделий, материалов и документов приёмки ОТК; критерий — соответствие приоритету отечественных компонентов либо документированное отсутствие аналога и промышленный температурный диапазон импортной ЭКБ.</w:t>
      </w:r>
    </w:p>
    <w:p>
      <w:pPr>
        <w:pStyle w:val="Heading2"/>
      </w:pPr>
      <w:r>
        <w:t xml:space="preserve">7 Требования к консервации, упаковке и маркировке</w:t>
      </w:r>
    </w:p>
    <w:p>
      <w:pPr>
        <w:pStyle w:val="Normal"/>
      </w:pPr>
      <w:r>
        <w:t xml:space="preserve">7.1.</w:t>
      </w:r>
      <w:r>
        <w:t xml:space="preserve"> На изделии должны быть предусмотрены децимальный и серийный номера, ревизия и маркировка C37-1…C37-4.</w:t>
      </w:r>
    </w:p>
    <w:p>
      <w:pPr>
        <w:pStyle w:val="Normal"/>
      </w:pPr>
      <w:r>
        <w:t xml:space="preserve">7.2.</w:t>
      </w:r>
      <w:r>
        <w:t xml:space="preserve"> Оптические разъёмы должны быть защищены колпачками.</w:t>
      </w:r>
    </w:p>
    <w:p>
      <w:pPr>
        <w:pStyle w:val="Normal"/>
      </w:pPr>
      <w:r>
        <w:t xml:space="preserve">7.3.</w:t>
      </w:r>
      <w:r>
        <w:t xml:space="preserve"> Хранение в заводской таре — не менее 1 года по ГОСТ 15150. Иные условия консервации, не заданные исходными данными, не устанавливаются.</w:t>
      </w:r>
    </w:p>
    <w:p>
      <w:pPr>
        <w:pStyle w:val="Normal"/>
      </w:pPr>
      <w:r>
        <w:t xml:space="preserve">Проверка: визуальный контроль маркировки, защитных колпачков и упаковки; анализ документов хранения. Критерий — наличие всех заданных реквизитов и срок хранения не менее 1 года по ГОСТ 15150.</w:t>
      </w:r>
    </w:p>
    <w:p>
      <w:pPr>
        <w:pStyle w:val="Heading2"/>
      </w:pPr>
      <w:r>
        <w:t xml:space="preserve">8 Специальные требования</w:t>
      </w:r>
    </w:p>
    <w:p>
      <w:pPr>
        <w:pStyle w:val="Normal"/>
      </w:pPr>
      <w:r>
        <w:t xml:space="preserve">8.1.</w:t>
      </w:r>
      <w:r>
        <w:t xml:space="preserve"> Телеметрия РМО должна быть реализована на C++/Qt и включать мнемосхему четырёх портов, N, DDM в дБм, LOS/LOF/Yellow Alarm, задержку, асимметрию и статус P2.</w:t>
      </w:r>
    </w:p>
    <w:p>
      <w:pPr>
        <w:pStyle w:val="Normal"/>
      </w:pPr>
      <w:r>
        <w:t xml:space="preserve">8.2.</w:t>
      </w:r>
      <w:r>
        <w:t xml:space="preserve"> Должны поддерживаться команды настройки N, режима тактирования и P2, управления петлями и запуска PRBS.</w:t>
      </w:r>
    </w:p>
    <w:p>
      <w:pPr>
        <w:pStyle w:val="Normal"/>
      </w:pPr>
      <w:r>
        <w:t xml:space="preserve">Проверка: инспекция интерфейса РМО и функциональное тестирование каждой команды в нормальных и аварийных режимах; критерий — отображение всех перечисленных параметров и выполнение всех перечисленных команд. Точный формат сообщений, прав доступа и порядок команд [уточнить].</w:t>
      </w:r>
    </w:p>
    <w:p>
      <w:r>
        <w:br w:type="page"/>
      </w:r>
    </w:p>
    <w:p>
      <w:pPr>
        <w:pStyle w:val="Heading1"/>
        <w:jc w:val="center"/>
      </w:pPr>
      <w:r>
        <w:t xml:space="preserve">ПОСЛЕДНИЙ ЛИСТ ТЗ НА СОСТАВНУЮ ЧАСТЬ ОКР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pPr>
              <w:pStyle w:val="TableText"/>
            </w:pPr>
            <w:r>
              <w:t xml:space="preserve">РАЗРАБОТАЛ</w:t>
            </w:r>
            <w:r>
              <w:t xml:space="preserve">должность, организация разработчика ТЗ</w:t>
            </w:r>
            <w:r>
              <w:t xml:space="preserve">________________ / [уточнить] /</w:t>
            </w:r>
            <w:r>
              <w:t xml:space="preserve">«___» ____________ 20__ г.</w:t>
            </w:r>
            <w:r>
              <w:t xml:space="preserve">
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СОГЛАСОВАНО</w:t>
            </w:r>
            <w:r>
              <w:t xml:space="preserve">должность, головной исполнитель ОКР</w:t>
            </w:r>
            <w:r>
              <w:t xml:space="preserve">________________ / [уточнить] /</w:t>
            </w:r>
            <w:r>
              <w:t xml:space="preserve">«___» ____________ 20__ г.</w:t>
            </w:r>
            <w:r>
              <w:t xml:space="preserve">
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СОГЛАСОВАНО</w:t>
            </w:r>
            <w:r>
              <w:t xml:space="preserve">другие организации, согласующие ТЗ</w:t>
            </w:r>
            <w:r>
              <w:t xml:space="preserve">________________ / [уточнить] /</w:t>
            </w:r>
            <w:r>
              <w:t xml:space="preserve">«___» ____________ 20__ г.</w:t>
            </w:r>
          </w:p>
        </w:tc>
      </w:tr>
    </w:tbl>
    <w:p>
      <w:pPr>
        <w:pStyle w:val="Normal"/>
      </w:pPr>
      <w:r>
        <w:t xml:space="preserve">Конец документа.</w:t>
      </w:r>
    </w:p>
    <w:sectPr>
      <w:pgSz w:w="11906" w:h="16838"/>
      <w:pgMar w:top="1134" w:right="1020" w:bottom="1020" w:left="1417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2"/>
    </w:rPr>
  </w:style>
  <w:style w:type="paragraph" w:styleId="Heading1">
    <w:name w:val="heading 1"/>
    <w:basedOn w:val="Normal"/>
    <w:pPr>
      <w:keepNext/>
      <w:spacing w:before="240" w:after="120"/>
    </w:pPr>
    <w:rPr>
      <w:b/>
      <w:sz w:val="28"/>
    </w:rPr>
  </w:style>
  <w:style w:type="paragraph" w:styleId="Heading2">
    <w:name w:val="heading 2"/>
    <w:basedOn w:val="Normal"/>
    <w:rPr>
      <w:b/>
      <w:sz w:val="24"/>
    </w:rPr>
  </w:style>
  <w:style w:type="paragraph" w:styleId="Heading3">
    <w:name w:val="heading 3"/>
    <w:basedOn w:val="Normal"/>
    <w:rPr>
      <w:b/>
      <w:sz w:val="22"/>
    </w:rPr>
  </w:style>
  <w:style w:type="paragraph" w:styleId="TableText">
    <w:name w:val="Table Text"/>
    <w:basedOn w:val="Normal"/>
    <w:rPr>
      <w:sz w:val="1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