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8"/>
                <w:szCs w:val="18"/>
                <w:b/>
              </w:rPr>
              <w:t xml:space="preserve">СОГЛАСОВАНО</w:t>
              <w:br/>
              <w:t xml:space="preserve">[должность, заказчик / НИО заказчика — уточнить]</w:t>
              <w:br/>
              <w:t xml:space="preserve">__________ [ФИО — уточнить]</w:t>
              <w:br/>
              <w:t xml:space="preserve">«___» ________ 20__ г.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8"/>
                <w:szCs w:val="18"/>
                <w:b/>
              </w:rPr>
              <w:t xml:space="preserve">СОГЛАСОВАНО</w:t>
              <w:br/>
              <w:t xml:space="preserve">[должность, исполнитель СЧ ОКР — уточнить]</w:t>
              <w:br/>
              <w:t xml:space="preserve">__________ [ФИО — уточнить]</w:t>
              <w:br/>
              <w:t xml:space="preserve">«___» ________ 20__ г.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8"/>
                <w:szCs w:val="18"/>
                <w:b/>
              </w:rPr>
              <w:t xml:space="preserve">УТВЕРЖДАЮ</w:t>
              <w:br/>
              <w:t xml:space="preserve">[должность, головной исполнитель ОКР — уточнить]</w:t>
              <w:br/>
              <w:t xml:space="preserve">__________ [ФИО — уточнить]</w:t>
              <w:br/>
              <w:t xml:space="preserve">«___» ________ 20__ г.</w:t>
            </w:r>
          </w:p>
        </w:tc>
      </w:tr>
    </w:tbl>
    <w:p>
      <w:pPr>
        <w:jc w:val="left"/>
        <w:spacing w:before="0" w:after="60"/>
        <w:ind w:left="0" w:firstLine="0"/>
      </w:pPr>
      <w:r>
        <w:rPr>
          <w:rFonts w:ascii="Liberation Serif" w:hAnsi="Liberation Serif" w:eastAsia="Liberation Serif"/>
          <w:sz w:val="24"/>
          <w:szCs w:val="24"/>
        </w:rPr>
        <w:t xml:space="preserve"/>
      </w:r>
    </w:p>
    <w:p>
      <w:pPr>
        <w:jc w:val="left"/>
        <w:spacing w:before="0" w:after="90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/>
      </w:r>
    </w:p>
    <w:p>
      <w:pPr>
        <w:jc w:val="center"/>
        <w:spacing w:before="0" w:after="120"/>
        <w:ind w:left="0" w:firstLine="0"/>
      </w:pPr>
      <w:r>
        <w:rPr>
          <w:rFonts w:ascii="Liberation Serif" w:hAnsi="Liberation Serif" w:eastAsia="Liberation Serif"/>
          <w:sz w:val="32"/>
          <w:szCs w:val="32"/>
          <w:b/>
        </w:rPr>
        <w:t xml:space="preserve">ТЕХНИЧЕСКОЕ ЗАДАНИЕ</w:t>
      </w:r>
    </w:p>
    <w:p>
      <w:pPr>
        <w:jc w:val="center"/>
        <w:spacing w:before="0" w:after="300"/>
        <w:ind w:left="0" w:firstLine="0"/>
      </w:pPr>
      <w:r>
        <w:rPr>
          <w:rFonts w:ascii="Liberation Serif" w:hAnsi="Liberation Serif" w:eastAsia="Liberation Serif"/>
          <w:sz w:val="28"/>
          <w:szCs w:val="28"/>
          <w:b/>
        </w:rPr>
        <w:t xml:space="preserve">НА СОСТАВНУЮ ЧАСТЬ ОПЫТНО-КОНСТРУКТОРСКОЙ РАБОТЫ</w:t>
      </w:r>
    </w:p>
    <w:p>
      <w:pPr>
        <w:jc w:val="center"/>
        <w:spacing w:before="0" w:after="200"/>
        <w:ind w:left="0" w:firstLine="0"/>
      </w:pPr>
      <w:r>
        <w:rPr>
          <w:rFonts w:ascii="Liberation Serif" w:hAnsi="Liberation Serif" w:eastAsia="Liberation Serif"/>
          <w:sz w:val="26"/>
          <w:szCs w:val="26"/>
        </w:rPr>
        <w:t xml:space="preserve">Разработка сменной интерфейсной субплаты 4×IEEE C37.94 и функционального модуля релейной защиты для универсального базового модуля AMC семейства ДММП</w:t>
      </w:r>
    </w:p>
    <w:p>
      <w:pPr>
        <w:jc w:val="center"/>
        <w:spacing w:before="0" w:after="200"/>
        <w:ind w:left="0" w:firstLine="0"/>
      </w:pPr>
      <w:r>
        <w:rPr>
          <w:rFonts w:ascii="Liberation Serif" w:hAnsi="Liberation Serif" w:eastAsia="Liberation Serif"/>
          <w:sz w:val="26"/>
          <w:szCs w:val="26"/>
          <w:b/>
        </w:rPr>
        <w:t xml:space="preserve">Шифр ОКР «Развитие-ТСА»</w:t>
      </w:r>
    </w:p>
    <w:p>
      <w:pPr>
        <w:jc w:val="center"/>
        <w:spacing w:before="0" w:after="700"/>
        <w:ind w:left="0" w:firstLine="0"/>
      </w:pPr>
      <w:r>
        <w:rPr>
          <w:rFonts w:ascii="Liberation Serif" w:hAnsi="Liberation Serif" w:eastAsia="Liberation Serif"/>
          <w:sz w:val="24"/>
          <w:szCs w:val="24"/>
        </w:rPr>
        <w:t xml:space="preserve">Обозначение составной части изделия: [уточнить]</w:t>
      </w:r>
    </w:p>
    <w:p>
      <w:pPr>
        <w:jc w:val="center"/>
        <w:spacing w:before="0" w:after="100"/>
        <w:ind w:left="0" w:firstLine="0"/>
      </w:pPr>
      <w:r>
        <w:rPr>
          <w:rFonts w:ascii="Liberation Serif" w:hAnsi="Liberation Serif" w:eastAsia="Liberation Serif"/>
          <w:sz w:val="22"/>
          <w:szCs w:val="22"/>
        </w:rPr>
        <w:t xml:space="preserve">Регистрационный номер: [уточнить]</w:t>
      </w:r>
    </w:p>
    <w:p>
      <w:pPr>
        <w:jc w:val="center"/>
        <w:spacing w:before="0" w:after="0"/>
        <w:ind w:left="0" w:firstLine="0"/>
      </w:pPr>
      <w:r>
        <w:rPr>
          <w:rFonts w:ascii="Liberation Serif" w:hAnsi="Liberation Serif" w:eastAsia="Liberation Serif"/>
          <w:sz w:val="22"/>
          <w:szCs w:val="22"/>
        </w:rPr>
        <w:t xml:space="preserve">Действует с дополнением: —</w:t>
      </w:r>
    </w:p>
    <w:p>
      <w:r>
        <w:br w:type="page"/>
      </w:r>
    </w:p>
    <w:p>
      <w:pPr>
        <w:jc w:val="center"/>
        <w:spacing w:before="0" w:after="400"/>
        <w:ind w:left="0" w:firstLine="0"/>
      </w:pPr>
      <w:r>
        <w:rPr>
          <w:rFonts w:ascii="Liberation Serif" w:hAnsi="Liberation Serif" w:eastAsia="Liberation Serif"/>
          <w:sz w:val="30"/>
          <w:szCs w:val="30"/>
          <w:b/>
        </w:rPr>
        <w:t xml:space="preserve">ЛИСТ СОГЛАСОВАНИЯ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  <w:b/>
              </w:rPr>
              <w:t xml:space="preserve">Организация, подразделение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  <w:b/>
              </w:rPr>
              <w:t xml:space="preserve">Должность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  <w:b/>
              </w:rPr>
              <w:t xml:space="preserve">ФИО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  <w:b/>
              </w:rPr>
              <w:t xml:space="preserve">Подпись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  <w:b/>
              </w:rPr>
              <w:t xml:space="preserve">Дата</w:t>
            </w:r>
          </w:p>
        </w:tc>
      </w:tr>
      <w:t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</w:rPr>
              <w:t xml:space="preserve">[уточнить]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</w:rPr>
              <w:t xml:space="preserve">[уточнить]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</w:rPr>
              <w:t xml:space="preserve">[уточнить]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</w:rPr>
              <w:t xml:space="preserve">________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</w:rPr>
              <w:t xml:space="preserve">[уточнить]</w:t>
            </w:r>
          </w:p>
        </w:tc>
      </w:tr>
      <w:t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</w:rPr>
              <w:t xml:space="preserve">[уточнить]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</w:rPr>
              <w:t xml:space="preserve">[уточнить]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</w:rPr>
              <w:t xml:space="preserve">[уточнить]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</w:rPr>
              <w:t xml:space="preserve">________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</w:rPr>
              <w:t xml:space="preserve">[уточнить]</w:t>
            </w:r>
          </w:p>
        </w:tc>
      </w:tr>
      <w:t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</w:rPr>
              <w:t xml:space="preserve">[уточнить]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</w:rPr>
              <w:t xml:space="preserve">[уточнить]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</w:rPr>
              <w:t xml:space="preserve">[уточнить]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</w:rPr>
              <w:t xml:space="preserve">________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</w:rPr>
              <w:t xml:space="preserve">[уточнить]</w:t>
            </w:r>
          </w:p>
        </w:tc>
      </w:tr>
    </w:tbl>
    <w:p>
      <w:pPr>
        <w:jc w:val="left"/>
        <w:spacing w:before="0" w:after="60"/>
        <w:ind w:left="0" w:firstLine="0"/>
      </w:pPr>
      <w:r>
        <w:rPr>
          <w:rFonts w:ascii="Liberation Serif" w:hAnsi="Liberation Serif" w:eastAsia="Liberation Serif"/>
          <w:sz w:val="24"/>
          <w:szCs w:val="24"/>
        </w:rPr>
        <w:t xml:space="preserve"/>
      </w:r>
    </w:p>
    <w:p>
      <w:pPr>
        <w:jc w:val="left"/>
        <w:spacing w:before="0" w:after="120"/>
        <w:ind w:left="0" w:firstLine="0"/>
      </w:pPr>
      <w:r>
        <w:rPr>
          <w:rFonts w:ascii="Liberation Serif" w:hAnsi="Liberation Serif" w:eastAsia="Liberation Serif"/>
          <w:sz w:val="20"/>
          <w:szCs w:val="20"/>
        </w:rPr>
        <w:t xml:space="preserve">Примечание — Состав согласующих организаций и должностных лиц не установлен исходными данными и подлежит уточнению головным исполнителем ОКР и заказчиком.</w:t>
      </w:r>
    </w:p>
    <w:p>
      <w:r>
        <w:br w:type="page"/>
      </w:r>
    </w:p>
    <w:p>
      <w:pPr>
        <w:jc w:val="left"/>
        <w:spacing w:before="260" w:after="120"/>
        <w:ind w:left="0" w:firstLine="0"/>
      </w:pPr>
      <w:r>
        <w:rPr>
          <w:rFonts w:ascii="Liberation Serif" w:hAnsi="Liberation Serif" w:eastAsia="Liberation Serif"/>
          <w:sz w:val="28"/>
          <w:szCs w:val="28"/>
          <w:b/>
        </w:rPr>
        <w:t xml:space="preserve">Перечень обозначений, терминов и сокращений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00"/>
        <w:gridCol w:w="4500"/>
      </w:tblGrid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  <w:b/>
              </w:rPr>
              <w:t xml:space="preserve">Обозначение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  <w:b/>
              </w:rPr>
              <w:t xml:space="preserve">Значение в настоящем ТЗ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AMC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Универсальный базовый модуль семейства ДММП, устанавливаемый на Carrier платформы ДММП; расшифровка обозначения в исходных данных не приведена.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B2B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Интерфейс связи сменной субплаты с базовой платой; расшифровка обозначения в исходных данных не приведена.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Board ID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Идентификатор сменной субплаты в EEPROM; для настоящего изделия — 0x05.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Carrier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Несущая плата платформы ДММП, на которую устанавливается AMC; дополнительное определение в исходных данных не приведено.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CDR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Функция трансивера; расшифровка обозначения в исходных данных не приведена.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DDM/DOM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Цифровой диагностический мониторинг параметров SFP по I2C согласно SFF-8472; расшифровки обозначений в исходных данных не приведены.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ДЗЛ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Вид терминалов релейной защиты; расшифровка обозначения в исходных данных не приведена.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ДФЗ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Вид терминалов релейной защиты; расшифровка обозначения в исходных данных не приведена.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КИМП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Комплектующие изделия межотраслевого применения (термин ГОСТ 15.016-2016).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MMC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Функция базовой платы; расшифровка обозначения в исходных данных не приведена.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ОКР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Опытно-конструкторская работа.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ОТК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Приёмка, применяемая к материалам и комплектующим; расшифровка обозначения в исходных данных не приведена.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ПЛИС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Программируемая логика базовой платы, в которой реализуется функциональный модуль; буквенная расшифровка в исходных данных не приведена.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ПМИ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Документ, связанный с испытаниями; расшифровка обозначения в исходных данных не приведена.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РЗА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Терминалы релейной защиты и автоматики.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РКД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Документация, разрабатываемая по плану-графику; расшифровка обозначения в исходных данных не приведена.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РМО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Среда, принимающая телеметрию и команды управления; программная часть указана как C++/Qt; расшифровка обозначения в исходных данных не приведена.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СЧ ОКР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Составная часть опытно-конструкторской работы.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ТЗ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Техническое задание.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LOF, LOS, P2, PDV, PRBS, PTPv2, QoS, RX, SM, SFP, TCLK, TX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6"/>
                <w:szCs w:val="16"/>
              </w:rPr>
              <w:t xml:space="preserve">Специальные обозначения интерфейсов, режимов, сигналов и диагностических состояний; буквенные расшифровки в исходных данных не приведены.</w:t>
            </w:r>
          </w:p>
        </w:tc>
      </w:tr>
    </w:tbl>
    <w:p>
      <w:pPr>
        <w:jc w:val="left"/>
        <w:spacing w:before="0" w:after="60"/>
        <w:ind w:left="0" w:firstLine="0"/>
      </w:pPr>
      <w:r>
        <w:rPr>
          <w:rFonts w:ascii="Liberation Serif" w:hAnsi="Liberation Serif" w:eastAsia="Liberation Serif"/>
          <w:sz w:val="24"/>
          <w:szCs w:val="24"/>
        </w:rPr>
        <w:t xml:space="preserve"/>
      </w:r>
    </w:p>
    <w:p>
      <w:pPr>
        <w:jc w:val="left"/>
        <w:spacing w:before="0" w:after="120"/>
        <w:ind w:left="0" w:firstLine="0"/>
      </w:pPr>
      <w:r>
        <w:rPr>
          <w:rFonts w:ascii="Liberation Serif" w:hAnsi="Liberation Serif" w:eastAsia="Liberation Serif"/>
          <w:sz w:val="20"/>
          <w:szCs w:val="20"/>
        </w:rPr>
        <w:t xml:space="preserve">Примечание — Отсутствующие в исходных данных официальные расшифровки обозначений должны быть уточнены до утверждения ТЗ; контекстные значения сохранены без подмены неподтверждёнными расшифровками.</w:t>
      </w:r>
    </w:p>
    <w:p>
      <w:pPr>
        <w:jc w:val="left"/>
        <w:spacing w:before="260" w:after="120"/>
        <w:ind w:left="0" w:firstLine="0"/>
      </w:pPr>
      <w:r>
        <w:rPr>
          <w:rFonts w:ascii="Liberation Serif" w:hAnsi="Liberation Serif" w:eastAsia="Liberation Serif"/>
          <w:sz w:val="28"/>
          <w:szCs w:val="28"/>
          <w:b/>
        </w:rPr>
        <w:t xml:space="preserve">Перечень применимых нормативных и справочных документов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00"/>
        <w:gridCol w:w="4500"/>
      </w:tblGrid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8"/>
                <w:szCs w:val="18"/>
                <w:b/>
              </w:rPr>
              <w:t xml:space="preserve">Обозначение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8"/>
                <w:szCs w:val="18"/>
                <w:b/>
              </w:rPr>
              <w:t xml:space="preserve">Применение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8"/>
                <w:szCs w:val="18"/>
              </w:rPr>
              <w:t xml:space="preserve">ГОСТ 15.016-2016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8"/>
                <w:szCs w:val="18"/>
              </w:rPr>
              <w:t xml:space="preserve">Построение, содержание, изложение и оформление ТЗ на СЧ ОКР — пункты 6.1, 6.2 и 7.1.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8"/>
                <w:szCs w:val="18"/>
              </w:rPr>
              <w:t xml:space="preserve">IEEE C37.94-2017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8"/>
                <w:szCs w:val="18"/>
              </w:rPr>
              <w:t xml:space="preserve">Оптический интерфейс и кадровый поток; должна обеспечиваться совместимость с IEEE C37.94-2002.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8"/>
                <w:szCs w:val="18"/>
              </w:rPr>
              <w:t xml:space="preserve">IEEE C37.94-2002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8"/>
                <w:szCs w:val="18"/>
              </w:rPr>
              <w:t xml:space="preserve">Совместимость оптического интерфейса.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8"/>
                <w:szCs w:val="18"/>
              </w:rPr>
              <w:t xml:space="preserve">ITU-T G.823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8"/>
                <w:szCs w:val="18"/>
              </w:rPr>
              <w:t xml:space="preserve">Требования к джиттеру/вандеру восстановленной частоты 2048 кГц.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8"/>
                <w:szCs w:val="18"/>
              </w:rPr>
              <w:t xml:space="preserve">SFF-8472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8"/>
                <w:szCs w:val="18"/>
              </w:rPr>
              <w:t xml:space="preserve">Опрос DDM/DOM по I2C.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8"/>
                <w:szCs w:val="18"/>
              </w:rPr>
              <w:t xml:space="preserve">IEEE 802.1p/Q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8"/>
                <w:szCs w:val="18"/>
              </w:rPr>
              <w:t xml:space="preserve">Strict Priority QoS для C37.94-over-Packet.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8"/>
                <w:szCs w:val="18"/>
              </w:rPr>
              <w:t xml:space="preserve">PICMG AMC.0 R2.0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8"/>
                <w:szCs w:val="18"/>
              </w:rPr>
              <w:t xml:space="preserve">Конструктив Single Full-size AMC.0.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8"/>
                <w:szCs w:val="18"/>
              </w:rPr>
              <w:t xml:space="preserve">ГОСТ РВ 20.39.304-98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8"/>
                <w:szCs w:val="18"/>
              </w:rPr>
              <w:t xml:space="preserve">Стойкость: группы 1.1, 1.3, 1.4.1, исполнение «О».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8"/>
                <w:szCs w:val="18"/>
              </w:rPr>
              <w:t xml:space="preserve">ГОСТ В 25803-91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8"/>
                <w:szCs w:val="18"/>
              </w:rPr>
              <w:t xml:space="preserve">Радиопомехи: группа 1.1.1.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8"/>
                <w:szCs w:val="18"/>
              </w:rPr>
              <w:t xml:space="preserve">ГОСТ 2.114-2016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8"/>
                <w:szCs w:val="18"/>
              </w:rPr>
              <w:t xml:space="preserve">Применимый нормативный документ.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8"/>
                <w:szCs w:val="18"/>
              </w:rPr>
              <w:t xml:space="preserve">ГОСТ РВ 15.201-2003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8"/>
                <w:szCs w:val="18"/>
              </w:rPr>
              <w:t xml:space="preserve">Применимый нормативный документ.</w:t>
            </w:r>
          </w:p>
        </w:tc>
      </w:tr>
      <w:tr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8"/>
                <w:szCs w:val="18"/>
              </w:rPr>
              <w:t xml:space="preserve">ГОСТ 15150</w:t>
            </w: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18"/>
                <w:szCs w:val="18"/>
              </w:rPr>
              <w:t xml:space="preserve">Хранение в заводской таре.</w:t>
            </w:r>
          </w:p>
        </w:tc>
      </w:tr>
    </w:tbl>
    <w:p>
      <w:pPr>
        <w:jc w:val="left"/>
        <w:spacing w:before="0" w:after="60"/>
        <w:ind w:left="0" w:firstLine="0"/>
      </w:pPr>
      <w:r>
        <w:rPr>
          <w:rFonts w:ascii="Liberation Serif" w:hAnsi="Liberation Serif" w:eastAsia="Liberation Serif"/>
          <w:sz w:val="24"/>
          <w:szCs w:val="24"/>
        </w:rPr>
        <w:t xml:space="preserve"/>
      </w:r>
    </w:p>
    <w:p>
      <w:pPr>
        <w:jc w:val="left"/>
        <w:spacing w:before="0" w:after="120"/>
        <w:ind w:left="0" w:firstLine="0"/>
      </w:pPr>
      <w:r>
        <w:rPr>
          <w:rFonts w:ascii="Liberation Serif" w:hAnsi="Liberation Serif" w:eastAsia="Liberation Serif"/>
          <w:sz w:val="20"/>
          <w:szCs w:val="20"/>
        </w:rPr>
        <w:t xml:space="preserve">Примечание — Наименования документов, не приведённые в исходных данных, не реконструированы. Перечень относится к разработке; требования к РКД, программной документации и ПМИ должны быть согласованы с применимыми положениями перечисленных документов.</w:t>
      </w:r>
    </w:p>
    <w:p>
      <w:pPr>
        <w:jc w:val="left"/>
        <w:spacing w:before="260" w:after="120"/>
        <w:ind w:left="0" w:firstLine="0"/>
      </w:pPr>
      <w:r>
        <w:rPr>
          <w:rFonts w:ascii="Liberation Serif" w:hAnsi="Liberation Serif" w:eastAsia="Liberation Serif"/>
          <w:sz w:val="28"/>
          <w:szCs w:val="28"/>
          <w:b/>
        </w:rPr>
        <w:t xml:space="preserve">1 Наименование, шифр, основание, исполнители и сроки ОКР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1.1 Наименование СЧ ОКР: разработка сменной интерфейсной субплаты 4×IEEE C37.94 и функционального модуля релейной защиты для универсального базового модуля AMC семейства ДММП.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1.2 Шифр ОКР — «Развитие-ТСА».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1.3 Основание — приказ об открытии инициативной ОКР № [уточнить] от [уточнить]. Номер и дата приказа должны быть установлены разработчиком инициативной ОКР до утверждения ТЗ.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1.4 Исполнитель СЧ ОКР — [организация-исполнитель]. Полное наименование головного исполнителя ОКР и заказчика (либо НИО заказчика) — [уточнить].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1.5 Сроки выполнения СЧ ОКР должны быть связаны с утверждённым планом-графиком разработки РКД и программной документации, изготовления образцов и испытаний. Даты начала и окончания — [уточнить по утверждённому плану-графику].</w:t>
      </w:r>
    </w:p>
    <w:p>
      <w:pPr>
        <w:jc w:val="left"/>
        <w:spacing w:before="260" w:after="120"/>
        <w:ind w:left="0" w:firstLine="0"/>
      </w:pPr>
      <w:r>
        <w:rPr>
          <w:rFonts w:ascii="Liberation Serif" w:hAnsi="Liberation Serif" w:eastAsia="Liberation Serif"/>
          <w:sz w:val="28"/>
          <w:szCs w:val="28"/>
          <w:b/>
        </w:rPr>
        <w:t xml:space="preserve">2 Цель выполнения, наименование, назначение и область применения изделия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2.1 Цель СЧ ОКР — разработать изделие, обеспечивающее оптические каналы терминалов РЗА/ДЗЛ и ДФЗ, противоаварийной автоматики и регистраторов аварийных событий подстанций ДММП: прозрачную передачу N×64 кбит/с с фиксированной низкой задержкой, симметрией, резервированием P2 и безопасным аварийным поведением.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2.2 Изделие предназначено для установки AMC на Carrier платформы ДММП и применения в составе подстанций ДММП.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2.3 Аппаратная часть изделия должна включать сменную субплату, оптические интерфейсы, защитные цепи, трансиверы и EEPROM Board ID.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2.4 Логическая часть изделия должна быть реализована как функциональный модуль ПЛИС базовой платы и автоматически активироваться по Board ID сменной субплаты.</w:t>
      </w:r>
    </w:p>
    <w:p>
      <w:pPr>
        <w:jc w:val="left"/>
        <w:spacing w:before="260" w:after="120"/>
        <w:ind w:left="0" w:firstLine="0"/>
      </w:pPr>
      <w:r>
        <w:rPr>
          <w:rFonts w:ascii="Liberation Serif" w:hAnsi="Liberation Serif" w:eastAsia="Liberation Serif"/>
          <w:sz w:val="28"/>
          <w:szCs w:val="28"/>
          <w:b/>
        </w:rPr>
        <w:t xml:space="preserve">3 Технические требования к изделию</w:t>
      </w:r>
    </w:p>
    <w:p>
      <w:pPr>
        <w:jc w:val="left"/>
        <w:spacing w:before="180" w:after="120"/>
        <w:ind w:left="0" w:firstLine="0"/>
      </w:pPr>
      <w:r>
        <w:rPr>
          <w:rFonts w:ascii="Liberation Serif" w:hAnsi="Liberation Serif" w:eastAsia="Liberation Serif"/>
          <w:sz w:val="24"/>
          <w:szCs w:val="24"/>
          <w:b/>
        </w:rPr>
        <w:t xml:space="preserve">3.1 Архитектура и оптические интерфейсы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3.1.1 Субплата должна иметь четыре независимых оптических порта LC/SFP, трансиверы 850/1310 нм с CDR, защитные цепи, DDM/DOM, EEPROM с Board ID 0x05 и индикацию.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3.1.2 Связь субплаты с базовой платой должна выполняться через B2B. Базовая плата должна предоставлять субплате напряжения +12 В и +3,3 В, MMC и тактирование и обеспечивать автоматическую загрузку bitstream из Flash по Board ID.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3.1.3 Должны быть предусмотрены четыре экранированные корзины SFP / дуплексные LC с отдельными волокнами TX и RX. Альтернативы LC/SFP сохраняются; окончательное исполнение — [уточнить до разработки РКД].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3.1.4 Для оптики 850 нм должны применяться многомодовые волокна MM 50/125 или 62,5/125 мкм; дальность — до 2 км. Для оптики 1310 нм должны применяться одномодовые волокна SM 9/125 мкм; дальность — от 20 до 40 км.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3.1.5 На каждом порту должны быть реализованы линии TX_DISABLE, TX_FAULT и RX_LOS.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3.1.6 Опрос DDM/DOM должен выполняться по I2C согласно SFF-8472. Должны контролироваться мощность TX/RX, температура и ток лазера; телеметрия должна передаваться в РМО.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3.1.7 Каждый порт независимо должен поддерживать N от 1 до 12 каналов по 64 кбит/с, полезную скорость от 64 до 768 кбит/с и кадровый поток 2048 кбит/с.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3.1.8 Интерфейс должен соответствовать IEEE C37.94-2017 и быть совместимым с IEEE C37.94-2002. Пользовательские биты должны передаваться без изменения или инверсии.</w:t>
      </w:r>
    </w:p>
    <w:p>
      <w:pPr>
        <w:jc w:val="left"/>
        <w:spacing w:before="0" w:after="120"/>
        <w:ind w:left="0" w:firstLine="0"/>
      </w:pPr>
      <w:r>
        <w:rPr>
          <w:rFonts w:ascii="Liberation Serif" w:hAnsi="Liberation Serif" w:eastAsia="Liberation Serif"/>
          <w:sz w:val="20"/>
          <w:szCs w:val="20"/>
        </w:rPr>
        <w:t xml:space="preserve">Проверка требований 3.1.1–3.1.8: осмотром и анализом РКД проверяют состав, число и независимость портов, интерфейсы, сигналы, Board ID и функции базовой платы; испытанием каждого порта проверяют варианты N = 1…12, скорости 64–768 кбит/с, кадровый поток 2048 кбит/с, неизменность и отсутствие инверсии пользовательских битов, DDM/DOM и передачу телеметрии. Для вариантов оптики испытанием подтверждают работу на 850 нм с MM 50/125 или 62,5/125 мкм до 2 км и на 1310 нм с SM 9/125 мкм в диапазоне 20–40 км. Метод и критерий выбора LC/SFP блокированы до решения по 3.1.3.</w:t>
      </w:r>
    </w:p>
    <w:p>
      <w:pPr>
        <w:jc w:val="left"/>
        <w:spacing w:before="180" w:after="120"/>
        <w:ind w:left="0" w:firstLine="0"/>
      </w:pPr>
      <w:r>
        <w:rPr>
          <w:rFonts w:ascii="Liberation Serif" w:hAnsi="Liberation Serif" w:eastAsia="Liberation Serif"/>
          <w:sz w:val="24"/>
          <w:szCs w:val="24"/>
          <w:b/>
        </w:rPr>
        <w:t xml:space="preserve">3.2 Пакетная передача, резервирование и безопасные состояния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3.2.1 C37.94-over-Packet должен использовать Ethernet L2, фиксированный период пакетизации, Fabric 10GbE и Strict Priority QoS по IEEE 802.1p/Q.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3.2.2 L3/UDP/IP допускается применять при необходимости с процессорным ядром SoC FPGA либо со статической аппаратной подстановкой заголовка.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3.2.3 Задержка должна быть фиксированной и детерминированной. Асимметрия прямого и обратного направлений не должна превышать ±10 мкс во всём диапазоне температур и сетевой нагрузки.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3.2.4 Независимый джиттер-буфер должен компенсировать PDV без выпадения кадров.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3.2.5 Ретрансляция потерянных пакетов запрещена. Единичный пропуск должен фиксироваться как ошибка и обозначаться Yellow Alarm / LOF.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3.2.6 Превышение настраиваемого порога последовательных потерь должно вызывать Laser Off. Значение порога последовательных потерь — [уточнить; без него полная проверка реакции невозможна]. Абсолютная задержка — [уточнить; без неё невозможно установить полный критерий испытания задержки].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3.2.7 В режиме P2 (Hitless 1+1) две идентичные копии должны передаваться по независимым трактам, должна выполняться поштучная дедупликация, а отказ одного пути не должен приводить к потере битов.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3.2.8 При LOS/LOF либо потере сетевого тракта изделие должно формировать Yellow Alarm или немедленно переходить в Laser Off. Выбор безопасного состояния при сохранении второго пути — [уточнить].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3.2.9 В аварийных режимах запрещена выдача недостоверных, случайных и повторно воспроизведённых устаревших данных РЗА.</w:t>
      </w:r>
    </w:p>
    <w:p>
      <w:pPr>
        <w:jc w:val="left"/>
        <w:spacing w:before="0" w:after="120"/>
        <w:ind w:left="0" w:firstLine="0"/>
      </w:pPr>
      <w:r>
        <w:rPr>
          <w:rFonts w:ascii="Liberation Serif" w:hAnsi="Liberation Serif" w:eastAsia="Liberation Serif"/>
          <w:sz w:val="20"/>
          <w:szCs w:val="20"/>
        </w:rPr>
        <w:t xml:space="preserve">Проверка требований 3.2.1–3.2.9: анализом конфигурации и испытанием под сетевой нагрузкой и во всём заданном диапазоне температур подтверждают Ethernet L2, фиксированный период пакетизации, Fabric 10GbE, Strict Priority QoS, детерминированность и асимметрию не более ±10 мкс, а также отсутствие выпадения кадров при компенсации PDV. Введением единичной потери проверяют регистрацию ошибки и Yellow Alarm / LOF и отсутствие ретрансляции. Отказом каждого из двух трактов P2 проверяют идентичность копий, поштучную дедупликацию и отсутствие потери битов. Введением LOS, LOF и потери сетевого тракта проверяют формирование допустимого безопасного состояния и отсутствие недостоверных, случайных и устаревших данных. Проверка порога Laser Off, абсолютной задержки и выбора состояния при сохранении второго пути блокирована до уточнений в 3.2.6 и 3.2.8.</w:t>
      </w:r>
    </w:p>
    <w:p>
      <w:pPr>
        <w:jc w:val="left"/>
        <w:spacing w:before="180" w:after="120"/>
        <w:ind w:left="0" w:firstLine="0"/>
      </w:pPr>
      <w:r>
        <w:rPr>
          <w:rFonts w:ascii="Liberation Serif" w:hAnsi="Liberation Serif" w:eastAsia="Liberation Serif"/>
          <w:sz w:val="24"/>
          <w:szCs w:val="24"/>
          <w:b/>
        </w:rPr>
        <w:t xml:space="preserve">3.3 Тактирование, диагностика и конструкция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3.3.1 Каждый порт должен поддерживать режимы тактирования Loop timing от входного сигнала, TCLK 19,44 МГц, PTPv2 и локальный Holdover.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3.3.2 Восстановленная частота 2048 кГц выбранного порта должна выдаваться в RX_CLK. Джиттер и вандер должны соответствовать ITU-T G.823.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3.3.3 Должны контролироваться LOS, LOF, Yellow Alarm, битовые ошибки и DDM.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3.3.4 На каждом порту должны быть реализованы Optical Loopback, Payload Loopback и Ethernet Packet Loopback, а также генератор/анализатор PRBS 2^15−1 и 2^23−1.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3.3.5 Потребляемая мощность субплаты не должна превышать 12 Вт; потребляемая мощность сборки с базовой платой не должна превышать 35 Вт.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3.3.6 Конструкция должна соответствовать Single Full-size AMC.0 по PICMG AMC.0 R2.0 и иметь габариты 73,5 × 180,6 × 28,95 мм. Межплатное крепление должно выполняться на 4–6 металлических стойках М2,5.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3.3.7 Изделие должно быть стойким по ГОСТ РВ 20.39.304-98 для групп 1.1, 1.3, 1.4.1, исполнения «О»: рабочая температура от −10 до +50 °C, предельная температура от −40 до +65 °C, синусоидальная вибрация 5g, удары 15g.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3.3.8 Требования по радиопомехам — группа 1.1.1 ГОСТ В 25803-91.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3.3.9 Средняя наработка на отказ (MTBF) должна быть не менее 15 000 ч. Назначенный срок службы должен быть не менее 20 лет.</w:t>
      </w:r>
    </w:p>
    <w:p>
      <w:pPr>
        <w:jc w:val="left"/>
        <w:spacing w:before="0" w:after="120"/>
        <w:ind w:left="0" w:firstLine="0"/>
      </w:pPr>
      <w:r>
        <w:rPr>
          <w:rFonts w:ascii="Liberation Serif" w:hAnsi="Liberation Serif" w:eastAsia="Liberation Serif"/>
          <w:sz w:val="20"/>
          <w:szCs w:val="20"/>
        </w:rPr>
        <w:t xml:space="preserve">Проверка требований 3.3.1–3.3.9: испытанием каждого порта проверяют все четыре режима тактирования, выдачу 2048 кГц в RX_CLK, контроль диагностических состояний, три вида петель и обе последовательности PRBS. Измерением проверяют джиттер/вандер по ITU-T G.823, мощность ≤12 Вт и ≤35 Вт и габариты 73,5 × 180,6 × 28,95 мм; осмотром — конструктив и крепление на 4–6 стойках М2,5. Испытаниями подтверждают указанные температуры, вибрацию 5g, удары 15g и радиопомехи группы 1.1.1. MTBF ≥15 000 ч и срок службы ≥20 лет подтверждают расчётом и/или испытанием без введения неподтверждённых продолжительности, объёма выборки и допусков измерений.</w:t>
      </w:r>
    </w:p>
    <w:p>
      <w:pPr>
        <w:jc w:val="left"/>
        <w:spacing w:before="260" w:after="120"/>
        <w:ind w:left="0" w:firstLine="0"/>
      </w:pPr>
      <w:r>
        <w:rPr>
          <w:rFonts w:ascii="Liberation Serif" w:hAnsi="Liberation Serif" w:eastAsia="Liberation Serif"/>
          <w:sz w:val="28"/>
          <w:szCs w:val="28"/>
          <w:b/>
        </w:rPr>
        <w:t xml:space="preserve">4 Технико-экономические требования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4.1 Технико-экономические требования к изделию не предъявляются.</w:t>
      </w:r>
    </w:p>
    <w:p>
      <w:pPr>
        <w:jc w:val="left"/>
        <w:spacing w:before="260" w:after="120"/>
        <w:ind w:left="0" w:firstLine="0"/>
      </w:pPr>
      <w:r>
        <w:rPr>
          <w:rFonts w:ascii="Liberation Serif" w:hAnsi="Liberation Serif" w:eastAsia="Liberation Serif"/>
          <w:sz w:val="28"/>
          <w:szCs w:val="28"/>
          <w:b/>
        </w:rPr>
        <w:t xml:space="preserve">5 Требования к видам обеспечения</w:t>
      </w:r>
    </w:p>
    <w:p>
      <w:pPr>
        <w:jc w:val="left"/>
        <w:spacing w:before="180" w:after="120"/>
        <w:ind w:left="0" w:firstLine="0"/>
      </w:pPr>
      <w:r>
        <w:rPr>
          <w:rFonts w:ascii="Liberation Serif" w:hAnsi="Liberation Serif" w:eastAsia="Liberation Serif"/>
          <w:sz w:val="24"/>
          <w:szCs w:val="24"/>
          <w:b/>
        </w:rPr>
        <w:t xml:space="preserve">5.1 Требования к нормативно-техническому обеспечению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5.1.1 При разработке должны применяться документы из перечня применимых нормативных и справочных документов настоящего ТЗ в указанной области применения.</w:t>
      </w:r>
    </w:p>
    <w:p>
      <w:pPr>
        <w:jc w:val="left"/>
        <w:spacing w:before="180" w:after="120"/>
        <w:ind w:left="0" w:firstLine="0"/>
      </w:pPr>
      <w:r>
        <w:rPr>
          <w:rFonts w:ascii="Liberation Serif" w:hAnsi="Liberation Serif" w:eastAsia="Liberation Serif"/>
          <w:sz w:val="24"/>
          <w:szCs w:val="24"/>
          <w:b/>
        </w:rPr>
        <w:t xml:space="preserve">5.2 Требования к метрологическому обеспечению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5.2.1 Должны быть предусмотрены средства и методики измерения оптической мощности, джиттера по ITU-T G.823, сквозной задержки и асимметрии.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5.2.2 Допуски измерений, не заданные исходными данными, — [уточнить при разработке ПМИ; это блокирует окончательное установление измерительной неопределённости и критериев для абсолютной задержки].</w:t>
      </w:r>
    </w:p>
    <w:p>
      <w:pPr>
        <w:jc w:val="left"/>
        <w:spacing w:before="180" w:after="120"/>
        <w:ind w:left="0" w:firstLine="0"/>
      </w:pPr>
      <w:r>
        <w:rPr>
          <w:rFonts w:ascii="Liberation Serif" w:hAnsi="Liberation Serif" w:eastAsia="Liberation Serif"/>
          <w:sz w:val="24"/>
          <w:szCs w:val="24"/>
          <w:b/>
        </w:rPr>
        <w:t xml:space="preserve">5.3 Требования к диагностическому обеспечению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5.3.1 Должны регистрироваться DDM, LOS, LOF, Yellow Alarm и статистика задержки; для РМО должны формироваться сообщения и отчёты.</w:t>
      </w:r>
    </w:p>
    <w:p>
      <w:pPr>
        <w:jc w:val="left"/>
        <w:spacing w:before="180" w:after="120"/>
        <w:ind w:left="0" w:firstLine="0"/>
      </w:pPr>
      <w:r>
        <w:rPr>
          <w:rFonts w:ascii="Liberation Serif" w:hAnsi="Liberation Serif" w:eastAsia="Liberation Serif"/>
          <w:sz w:val="24"/>
          <w:szCs w:val="24"/>
          <w:b/>
        </w:rPr>
        <w:t xml:space="preserve">5.4 Требования к программному обеспечению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5.4.1 Должны быть разработаны bitstream функционального модуля для Flash базовой платы, драйверы Linux и MIB для РМО.</w:t>
      </w:r>
    </w:p>
    <w:p>
      <w:pPr>
        <w:jc w:val="left"/>
        <w:spacing w:before="0" w:after="120"/>
        <w:ind w:left="0" w:firstLine="0"/>
      </w:pPr>
      <w:r>
        <w:rPr>
          <w:rFonts w:ascii="Liberation Serif" w:hAnsi="Liberation Serif" w:eastAsia="Liberation Serif"/>
          <w:sz w:val="20"/>
          <w:szCs w:val="20"/>
        </w:rPr>
        <w:t xml:space="preserve">Проверка требований 5.1.1–5.4.1: анализом РКД, программной документации и ПМИ подтверждают применение перечисленных документов и наличие средств и методик; измерением проверяют оптическую мощность, джиттер, сквозную задержку и асимметрию; испытанием диагностических воздействий проверяют регистрацию и отчётность РМО; функциональным испытанием проверяют bitstream, драйверы Linux и MIB. Полный метрологический критерий остаётся заблокированным до уточнения по 5.2.2.</w:t>
      </w:r>
    </w:p>
    <w:p>
      <w:pPr>
        <w:jc w:val="left"/>
        <w:spacing w:before="260" w:after="120"/>
        <w:ind w:left="0" w:firstLine="0"/>
      </w:pPr>
      <w:r>
        <w:rPr>
          <w:rFonts w:ascii="Liberation Serif" w:hAnsi="Liberation Serif" w:eastAsia="Liberation Serif"/>
          <w:sz w:val="28"/>
          <w:szCs w:val="28"/>
          <w:b/>
        </w:rPr>
        <w:t xml:space="preserve">6 Требования к сырью, материалам и комплектующим изделиям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6.1 При выборе материалов и комплектующих приоритет должен отдаваться отечественным материалам и комплектующим с приёмкой ОТК.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6.2 При отсутствии отечественных аналогов допускается применять импортную ЭКБ промышленного температурного диапазона.</w:t>
      </w:r>
    </w:p>
    <w:p>
      <w:pPr>
        <w:jc w:val="left"/>
        <w:spacing w:before="0" w:after="120"/>
        <w:ind w:left="0" w:firstLine="0"/>
      </w:pPr>
      <w:r>
        <w:rPr>
          <w:rFonts w:ascii="Liberation Serif" w:hAnsi="Liberation Serif" w:eastAsia="Liberation Serif"/>
          <w:sz w:val="20"/>
          <w:szCs w:val="20"/>
        </w:rPr>
        <w:t xml:space="preserve">Проверка требований 6.1–6.2: анализом перечней элементов, спецификаций и документов приёмки подтверждают приоритет отечественных позиций и приёмку ОТК; для импортной ЭКБ подтверждают отсутствие отечественных аналогов и промышленный температурный диапазон.</w:t>
      </w:r>
    </w:p>
    <w:p>
      <w:pPr>
        <w:jc w:val="left"/>
        <w:spacing w:before="260" w:after="120"/>
        <w:ind w:left="0" w:firstLine="0"/>
      </w:pPr>
      <w:r>
        <w:rPr>
          <w:rFonts w:ascii="Liberation Serif" w:hAnsi="Liberation Serif" w:eastAsia="Liberation Serif"/>
          <w:sz w:val="28"/>
          <w:szCs w:val="28"/>
          <w:b/>
        </w:rPr>
        <w:t xml:space="preserve">7 Требования к консервации, упаковке и маркировке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7.1 На изделие должны наноситься децимальный и серийный номера, ревизия и маркировка портов C37-1…C37-4.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7.2 Оптические разъёмы должны быть защищены колпачками.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7.3 Хранение в заводской таре должно обеспечиваться не менее 1 года по ГОСТ 15150.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7.4 Условия и средства консервации — [уточнить; исходные данные запрещают дополнять незаданные условия, поэтому окончательная проверка консервации до уточнения невозможна].</w:t>
      </w:r>
    </w:p>
    <w:p>
      <w:pPr>
        <w:jc w:val="left"/>
        <w:spacing w:before="0" w:after="120"/>
        <w:ind w:left="0" w:firstLine="0"/>
      </w:pPr>
      <w:r>
        <w:rPr>
          <w:rFonts w:ascii="Liberation Serif" w:hAnsi="Liberation Serif" w:eastAsia="Liberation Serif"/>
          <w:sz w:val="20"/>
          <w:szCs w:val="20"/>
        </w:rPr>
        <w:t xml:space="preserve">Проверка требований 7.1–7.4: осмотром проверяют наличие и содержание маркировки и защитных колпачков; анализом документации и испытанием хранения подтверждают срок не менее 1 года в заводской таре по ГОСТ 15150. Проверка консервации блокирована до уточнения 7.4.</w:t>
      </w:r>
    </w:p>
    <w:p>
      <w:pPr>
        <w:jc w:val="left"/>
        <w:spacing w:before="260" w:after="120"/>
        <w:ind w:left="0" w:firstLine="0"/>
      </w:pPr>
      <w:r>
        <w:rPr>
          <w:rFonts w:ascii="Liberation Serif" w:hAnsi="Liberation Serif" w:eastAsia="Liberation Serif"/>
          <w:sz w:val="28"/>
          <w:szCs w:val="28"/>
          <w:b/>
        </w:rPr>
        <w:t xml:space="preserve">8 Специальные требования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8.1 Телеметрия РМО, реализованная с применением C++/Qt, должна содержать мнемосхему четырёх портов и отображать N, DDM в дБм, LOS, LOF, Yellow Alarm, задержку, асимметрию и статус P2.</w:t>
      </w:r>
    </w:p>
    <w:p>
      <w:pPr>
        <w:jc w:val="left"/>
        <w:spacing w:before="0" w:after="120"/>
        <w:ind w:left="0" w:firstLine="700"/>
      </w:pPr>
      <w:r>
        <w:rPr>
          <w:rFonts w:ascii="Liberation Serif" w:hAnsi="Liberation Serif" w:eastAsia="Liberation Serif"/>
          <w:sz w:val="24"/>
          <w:szCs w:val="24"/>
        </w:rPr>
        <w:t xml:space="preserve">8.2 РМО должно обеспечивать команды настройки N, режима тактирования и P2, управления петлями и запуска PRBS.</w:t>
      </w:r>
    </w:p>
    <w:p>
      <w:pPr>
        <w:jc w:val="left"/>
        <w:spacing w:before="0" w:after="120"/>
        <w:ind w:left="0" w:firstLine="0"/>
      </w:pPr>
      <w:r>
        <w:rPr>
          <w:rFonts w:ascii="Liberation Serif" w:hAnsi="Liberation Serif" w:eastAsia="Liberation Serif"/>
          <w:sz w:val="20"/>
          <w:szCs w:val="20"/>
        </w:rPr>
        <w:t xml:space="preserve">Проверка требований 8.1–8.2: функциональным испытанием РМО для каждого из четырёх портов проверяют отображение всех перечисленных параметров и состояний; подачей каждой команды и наблюдением реакции изделия проверяют настройку N, режима тактирования и P2, управление всеми петлями и запуск обеих последовательностей PRBS.</w:t>
      </w:r>
    </w:p>
    <w:p>
      <w:r>
        <w:br w:type="page"/>
      </w:r>
    </w:p>
    <w:p>
      <w:pPr>
        <w:jc w:val="left"/>
        <w:spacing w:before="0" w:after="250"/>
        <w:ind w:left="0" w:firstLine="0"/>
      </w:pPr>
      <w:r>
        <w:rPr>
          <w:rFonts w:ascii="Liberation Serif" w:hAnsi="Liberation Serif" w:eastAsia="Liberation Serif"/>
          <w:sz w:val="24"/>
          <w:szCs w:val="24"/>
          <w:b/>
        </w:rPr>
        <w:t xml:space="preserve">РАЗРАБОТАНО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  <w:b/>
              </w:rPr>
              <w:t xml:space="preserve">Организация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  <w:b/>
              </w:rPr>
              <w:t xml:space="preserve">Должность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  <w:b/>
              </w:rPr>
              <w:t xml:space="preserve">ФИО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  <w:b/>
              </w:rPr>
              <w:t xml:space="preserve">Подпись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  <w:b/>
              </w:rPr>
              <w:t xml:space="preserve">Дата</w:t>
            </w:r>
          </w:p>
        </w:tc>
      </w:tr>
      <w:t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</w:rPr>
              <w:t xml:space="preserve">[организация-исполнитель]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</w:rPr>
              <w:t xml:space="preserve">[уточнить]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</w:rPr>
              <w:t xml:space="preserve">[уточнить]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</w:rPr>
              <w:t xml:space="preserve">________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</w:rPr>
              <w:t xml:space="preserve">[уточнить]</w:t>
            </w:r>
          </w:p>
        </w:tc>
      </w:tr>
    </w:tbl>
    <w:p>
      <w:pPr>
        <w:jc w:val="left"/>
        <w:spacing w:before="0" w:after="60"/>
        <w:ind w:left="0" w:firstLine="0"/>
      </w:pPr>
      <w:r>
        <w:rPr>
          <w:rFonts w:ascii="Liberation Serif" w:hAnsi="Liberation Serif" w:eastAsia="Liberation Serif"/>
          <w:sz w:val="24"/>
          <w:szCs w:val="24"/>
        </w:rPr>
        <w:t xml:space="preserve"/>
      </w:r>
    </w:p>
    <w:p>
      <w:pPr>
        <w:jc w:val="left"/>
        <w:spacing w:before="300" w:after="250"/>
        <w:ind w:left="0" w:firstLine="0"/>
      </w:pPr>
      <w:r>
        <w:rPr>
          <w:rFonts w:ascii="Liberation Serif" w:hAnsi="Liberation Serif" w:eastAsia="Liberation Serif"/>
          <w:sz w:val="24"/>
          <w:szCs w:val="24"/>
          <w:b/>
        </w:rPr>
        <w:t xml:space="preserve">СОГЛАСОВАНО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  <w:b/>
              </w:rPr>
              <w:t xml:space="preserve">Организация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  <w:b/>
              </w:rPr>
              <w:t xml:space="preserve">Должность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  <w:b/>
              </w:rPr>
              <w:t xml:space="preserve">ФИО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  <w:b/>
              </w:rPr>
              <w:t xml:space="preserve">Подпись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  <w:b/>
              </w:rPr>
              <w:t xml:space="preserve">Дата</w:t>
            </w:r>
          </w:p>
        </w:tc>
      </w:tr>
      <w:t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</w:rPr>
              <w:t xml:space="preserve">[уточнить]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</w:rPr>
              <w:t xml:space="preserve">[уточнить]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</w:rPr>
              <w:t xml:space="preserve">[уточнить]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</w:rPr>
              <w:t xml:space="preserve">________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</w:rPr>
              <w:t xml:space="preserve">[уточнить]</w:t>
            </w:r>
          </w:p>
        </w:tc>
      </w:tr>
      <w:t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</w:rPr>
              <w:t xml:space="preserve">[уточнить]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</w:rPr>
              <w:t xml:space="preserve">[уточнить]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</w:rPr>
              <w:t xml:space="preserve">[уточнить]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</w:rPr>
              <w:t xml:space="preserve">________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Liberation Serif" w:hAnsi="Liberation Serif" w:eastAsia="Liberation Serif"/>
                <w:sz w:val="20"/>
                <w:szCs w:val="20"/>
              </w:rPr>
              <w:t xml:space="preserve">[уточнить]</w:t>
            </w:r>
          </w:p>
        </w:tc>
      </w:tr>
    </w:tbl>
    <w:p>
      <w:pPr>
        <w:jc w:val="left"/>
        <w:spacing w:before="0" w:after="60"/>
        <w:ind w:left="0" w:firstLine="0"/>
      </w:pPr>
      <w:r>
        <w:rPr>
          <w:rFonts w:ascii="Liberation Serif" w:hAnsi="Liberation Serif" w:eastAsia="Liberation Serif"/>
          <w:sz w:val="24"/>
          <w:szCs w:val="24"/>
        </w:rPr>
        <w:t xml:space="preserve"/>
      </w:r>
    </w:p>
    <w:p>
      <w:pPr>
        <w:jc w:val="left"/>
        <w:spacing w:before="0" w:after="120"/>
        <w:ind w:left="0" w:firstLine="0"/>
      </w:pPr>
      <w:r>
        <w:rPr>
          <w:rFonts w:ascii="Liberation Serif" w:hAnsi="Liberation Serif" w:eastAsia="Liberation Serif"/>
          <w:sz w:val="20"/>
          <w:szCs w:val="20"/>
        </w:rPr>
        <w:t xml:space="preserve">Примечание — Состав подписантов и согласующих организаций подлежит уточнению в соответствии с решениями головного исполнителя ОКР и заказчика.</w:t>
      </w:r>
    </w:p>
    <w:sectPr>
      <w:headerReference w:type="default" r:id="rId1"/>
      <w:pgSz w:w="11906" w:h="16838"/>
      <w:pgMar w:top="850" w:right="567" w:bottom="850" w:left="1134" w:header="300" w:footer="300"/>
      <w:cols w:space="708"/>
      <w:docGrid w:linePitch="36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Liberation Serif" w:hAnsi="Liberation Serif" w:eastAsia="Liberation Serif"/>
        <w:sz w:val="24"/>
        <w:lang w:val="ru-RU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Codex OOXML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Техническое задание. Развитие-ТСА</dc:title>
  <dc:creator>[организация-исполнитель]</dc:creator>
  <dc:language>ru-RU</dc:language>
</cp:coreProperties>
</file>