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Layout w:type="autofit"/>
      </w:tblPr>
      <w:tr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СОГЛАСОВАНО</w:t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должность, заказчик</w:t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(НИО заказчика)</w:t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подпись, инициалы, фамилия</w:t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«___» __________ 20__ г.</w:t>
            </w:r>
          </w:p>
        </w:tc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СОГЛАСОВАНО</w:t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должность, исполнитель составной части ОКР</w:t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подпись, инициалы, фамилия</w:t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«___» __________ 20__ г.</w:t>
            </w:r>
          </w:p>
        </w:tc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УТВЕРЖДАЮ</w:t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должность, головной исполнитель ОКР</w:t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подпись, инициалы, фамилия</w:t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«___» __________ 20__ г.</w:t>
            </w:r>
          </w:p>
        </w:tc>
      </w:tr>
    </w:tbl>
    <w:p>
      <w:pPr>
        <w:jc w:val="both"/>
        <w:spacing w:after="80"/>
      </w:pPr>
      <w:r>
        <w:rPr>
          <w:rFonts w:ascii="Times New Roman" w:hAnsi="Times New Roman"/>
          <w:sz w:val="22"/>
          <w:szCs w:val="22"/>
        </w:rPr>
        <w:t xml:space="preserve"/>
      </w:r>
      <w:r>
        <w:br/>
      </w:r>
      <w:r>
        <w:rPr>
          <w:rFonts w:ascii="Times New Roman" w:hAnsi="Times New Roman"/>
          <w:sz w:val="22"/>
          <w:szCs w:val="22"/>
        </w:rPr>
        <w:t xml:space="preserve"/>
      </w:r>
      <w:r>
        <w:br/>
      </w:r>
      <w:r>
        <w:rPr>
          <w:rFonts w:ascii="Times New Roman" w:hAnsi="Times New Roman"/>
          <w:sz w:val="22"/>
          <w:szCs w:val="22"/>
        </w:rPr>
        <w:t xml:space="preserve"/>
      </w:r>
    </w:p>
    <w:p>
      <w:pPr>
        <w:jc w:val="center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ТЕХНИЧЕСКОЕ ЗАДАНИЕ</w:t>
      </w:r>
    </w:p>
    <w:p>
      <w:pPr>
        <w:jc w:val="center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НА СОСТАВНУЮ ЧАСТЬ ОПЫТНО-КОНСТРУКТОРСКОЙ РАБОТЫ</w:t>
      </w:r>
    </w:p>
    <w:p>
      <w:pPr>
        <w:jc w:val="both"/>
        <w:spacing w:after="80"/>
      </w:pPr>
      <w:r>
        <w:rPr>
          <w:rFonts w:ascii="Times New Roman" w:hAnsi="Times New Roman"/>
          <w:sz w:val="22"/>
          <w:szCs w:val="22"/>
        </w:rPr>
        <w:t xml:space="preserve"/>
      </w:r>
      <w:r>
        <w:br/>
      </w:r>
      <w:r>
        <w:rPr>
          <w:rFonts w:ascii="Times New Roman" w:hAnsi="Times New Roman"/>
          <w:sz w:val="22"/>
          <w:szCs w:val="22"/>
        </w:rPr>
        <w:t xml:space="preserve"/>
      </w:r>
    </w:p>
    <w:p>
      <w:pPr>
        <w:jc w:val="center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Разработка сменной интерфейсной субплаты 4×IEEE C37.94</w:t>
      </w:r>
      <w:r>
        <w:br/>
      </w:r>
      <w:r>
        <w:rPr>
          <w:rFonts w:ascii="Times New Roman" w:hAnsi="Times New Roman"/>
          <w:b/>
          <w:sz w:val="22"/>
          <w:szCs w:val="22"/>
        </w:rPr>
        <w:t xml:space="preserve">и функционального модуля релейной защиты для универсального базового модуля AMC семейства ДММП</w:t>
      </w:r>
    </w:p>
    <w:p>
      <w:pPr>
        <w:jc w:val="center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Шифр ОКР «Развитие-ТСА»</w:t>
      </w:r>
    </w:p>
    <w:p>
      <w:pPr>
        <w:jc w:val="center"/>
        <w:spacing w:after="80"/>
      </w:pPr>
      <w:r>
        <w:rPr>
          <w:rFonts w:ascii="Times New Roman" w:hAnsi="Times New Roman"/>
          <w:sz w:val="22"/>
          <w:szCs w:val="22"/>
        </w:rPr>
        <w:t xml:space="preserve">Обозначение составной части изделия: [уточнить]</w:t>
      </w:r>
    </w:p>
    <w:p>
      <w:pPr>
        <w:jc w:val="both"/>
        <w:spacing w:after="80"/>
      </w:pPr>
      <w:r>
        <w:rPr>
          <w:rFonts w:ascii="Times New Roman" w:hAnsi="Times New Roman"/>
          <w:sz w:val="22"/>
          <w:szCs w:val="22"/>
        </w:rPr>
        <w:t xml:space="preserve"/>
      </w:r>
      <w:r>
        <w:br/>
      </w:r>
      <w:r>
        <w:rPr>
          <w:rFonts w:ascii="Times New Roman" w:hAnsi="Times New Roman"/>
          <w:sz w:val="22"/>
          <w:szCs w:val="22"/>
        </w:rPr>
        <w:t xml:space="preserve"/>
      </w:r>
      <w:r>
        <w:br/>
      </w:r>
      <w:r>
        <w:rPr>
          <w:rFonts w:ascii="Times New Roman" w:hAnsi="Times New Roman"/>
          <w:sz w:val="22"/>
          <w:szCs w:val="22"/>
        </w:rPr>
        <w:t xml:space="preserve"/>
      </w:r>
    </w:p>
    <w:p>
      <w:pPr>
        <w:jc w:val="right"/>
        <w:spacing w:after="80"/>
      </w:pPr>
      <w:r>
        <w:rPr>
          <w:rFonts w:ascii="Times New Roman" w:hAnsi="Times New Roman"/>
          <w:sz w:val="22"/>
          <w:szCs w:val="22"/>
        </w:rPr>
        <w:t xml:space="preserve">Действует с дополнением: —</w:t>
      </w:r>
    </w:p>
    <w:p>
      <w:r>
        <w:br w:type="page"/>
      </w:r>
    </w:p>
    <w:p>
      <w:pPr>
        <w:jc w:val="center"/>
        <w:spacing w:after="80"/>
      </w:pPr>
      <w:r>
        <w:rPr>
          <w:rFonts w:ascii="Times New Roman" w:hAnsi="Times New Roman"/>
          <w:b/>
          <w:sz w:val="26"/>
          <w:szCs w:val="26"/>
        </w:rPr>
        <w:t xml:space="preserve">Лист согласования</w:t>
      </w:r>
    </w:p>
    <w:tbl>
      <w:tblPr>
        <w:tblW w:w="0" w:type="auto"/>
        <w:tblLayout w:type="autofit"/>
      </w:tblPr>
      <w:tr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Организация / роль</w:t>
            </w:r>
          </w:p>
        </w:tc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Должность, ФИО</w:t>
            </w:r>
          </w:p>
        </w:tc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Подпись</w:t>
            </w:r>
          </w:p>
        </w:tc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Дата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Заказчик (НИО заказчика)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[уточнить]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[уточнить]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Исполнитель составной части ОКР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[уточнить]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[уточнить]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Головной исполнитель ОКР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[уточнить]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[уточнить]</w:t>
            </w:r>
          </w:p>
        </w:tc>
      </w:tr>
    </w:tbl>
    <w:p>
      <w:pPr>
        <w:jc w:val="both"/>
        <w:spacing w:after="80"/>
      </w:pPr>
      <w:r>
        <w:rPr>
          <w:rFonts w:ascii="Times New Roman" w:hAnsi="Times New Roman"/>
          <w:sz w:val="22"/>
          <w:szCs w:val="22"/>
        </w:rPr>
        <w:t xml:space="preserve"/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Примечание — Состав согласующих организаций и лиц не задан; лист заполняется при согласовании ТЗ.</w:t>
      </w:r>
    </w:p>
    <w:p>
      <w:pPr>
        <w:jc w:val="center"/>
        <w:spacing w:after="80"/>
      </w:pPr>
      <w:r>
        <w:rPr>
          <w:rFonts w:ascii="Times New Roman" w:hAnsi="Times New Roman"/>
          <w:b/>
          <w:sz w:val="26"/>
          <w:szCs w:val="26"/>
        </w:rPr>
        <w:t xml:space="preserve">Перечень обозначений и сокращений</w:t>
      </w:r>
    </w:p>
    <w:tbl>
      <w:tblPr>
        <w:tblW w:w="0" w:type="auto"/>
        <w:tblLayout w:type="autofit"/>
      </w:tblPr>
      <w:tr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Сокращение / термин</w:t>
            </w:r>
          </w:p>
        </w:tc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Раскрытие или значение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AMC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Advanced Mezzanine Card; форм-фактор и базовая спецификация модулей PICMG AMC.0 R2.0.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B2B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Board-to-Board; межплатное соединение субплаты с базовой платой.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Board ID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Идентификатор субплаты в EEPROM; для разрабатываемой субплаты — 0x05.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CDR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Clock and Data Recovery; восстановление тактовой частоты и данных трансивером.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DDM/DOM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Цифровой диагностический мониторинг / цифровой оптический мониторинг трансивера.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EEPROM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Электрически стираемое перепрограммируемое постоянное запоминающее устройство.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L2 / L3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Канальный / сетевой уровни передачи Ethernet.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LC/SFP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Дуплексный оптический разъём LC / модульный трансивер Small Form-factor Pluggable.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LOF / LOS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Loss of Frame / Loss of Signal; потеря кадровой синхронизации / потеря входного оптического сигнала.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MMC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Контроллер управления модулем AMC (Module Management Controller).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MTBF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Средняя наработка на отказ.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Количество каналов по 64 кбит/с на одном оптическом порту; N = 1…12.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Hitless 1+1: передача двух идентичных копий по независимым трактам с дедупликацией.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PDV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Packet Delay Variation; вариация задержки пакетов.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ПЛИС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Программируемая логическая интегральная схема.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ПМИ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Программа и методика испытаний.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PTPv2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Протокол точного времени, версия 2.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РЗА / ДЗЛ / ДФЗ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Релейная защита и автоматика / дифференциальная защита линии / дифференциально-фазная защита.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РКД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Рабочая конструкторская документация.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РМО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Рабочее место оператора.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ОКР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Опытно-конструкторская работа.</w:t>
            </w:r>
          </w:p>
        </w:tc>
      </w:tr>
    </w:tbl>
    <w:p>
      <w:pPr>
        <w:jc w:val="both"/>
        <w:spacing w:after="80"/>
      </w:pPr>
      <w:r>
        <w:rPr>
          <w:rFonts w:ascii="Times New Roman" w:hAnsi="Times New Roman"/>
          <w:sz w:val="22"/>
          <w:szCs w:val="22"/>
        </w:rPr>
        <w:t xml:space="preserve"/>
      </w:r>
    </w:p>
    <w:p>
      <w:pPr>
        <w:jc w:val="center"/>
        <w:spacing w:after="80"/>
      </w:pPr>
      <w:r>
        <w:rPr>
          <w:rFonts w:ascii="Times New Roman" w:hAnsi="Times New Roman"/>
          <w:b/>
          <w:sz w:val="26"/>
          <w:szCs w:val="26"/>
        </w:rPr>
        <w:t xml:space="preserve">Перечень применимых нормативных и справочных документов</w:t>
      </w:r>
    </w:p>
    <w:tbl>
      <w:tblPr>
        <w:tblW w:w="0" w:type="auto"/>
        <w:tblLayout w:type="autofit"/>
      </w:tblPr>
      <w:tr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Обозначение</w:t>
            </w:r>
          </w:p>
        </w:tc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Наименование / применение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ГОСТ 15.016-2016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Система разработки и постановки продукции на производство. Техническое задание. Требования к содержанию и оформлению; применяется в части 6.1, 6.2 и 7.1.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IEEE C37.94-2017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Требования к оптическому интерфейсу; совместимость с IEEE C37.94-2002.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ITU-T G.823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Нормы джиттера и вандера для восстановленной частоты 2048 кГц.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SFF-8472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Опрос DDM/DOM по I2C.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IEEE 802.1p/Q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Strict Priority QoS для C37.94-over-Packet.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PICMG AMC.0 R2.0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Требования к форм-фактору AMC.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ГОСТ РВ 20.39.304-98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Стойкость: группы 1.1, 1.3, 1.4.1; исполнение «О».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ГОСТ В 25803-91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Радиопомехи: группа 1.1.1.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ГОСТ 2.114-2016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Применимый нормативный документ.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ГОСТ РВ 15.201-2003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Применимый нормативный документ.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ГОСТ 15150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Хранение в заводской таре.</w:t>
            </w:r>
          </w:p>
        </w:tc>
      </w:tr>
    </w:tbl>
    <w:p>
      <w:pPr>
        <w:jc w:val="both"/>
        <w:spacing w:after="80"/>
      </w:pPr>
      <w:r>
        <w:rPr>
          <w:rFonts w:ascii="Times New Roman" w:hAnsi="Times New Roman"/>
          <w:sz w:val="22"/>
          <w:szCs w:val="22"/>
        </w:rPr>
        <w:t xml:space="preserve"/>
      </w:r>
    </w:p>
    <w:p>
      <w:pPr>
        <w:jc w:val="center"/>
        <w:spacing w:after="80"/>
      </w:pPr>
      <w:r>
        <w:rPr>
          <w:rFonts w:ascii="Times New Roman" w:hAnsi="Times New Roman"/>
          <w:b/>
          <w:sz w:val="26"/>
          <w:szCs w:val="26"/>
        </w:rPr>
        <w:t xml:space="preserve">1 Наименование, шифр, основание, исполнители и сроки ОКР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Наименование составной части ОКР: разработка сменной интерфейсной субплаты 4×IEEE C37.94 и функционального модуля релейной защиты для универсального базового модуля AMC семейства ДММП.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Шифр ОКР: «Развитие-ТСА». Дополнительный шифр составной части ОКР не задан.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Основание выполнения: приказ об открытии инициативной ОКР № [уточнить] от [уточнить].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Исполнитель: [организация-исполнитель]. Головной исполнитель ОКР: [уточнить].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Сроки выполнения должны быть установлены утверждённым планом-графиком разработки РКД, программной документации, изготовления образцов и испытаний. Даты и календарные сроки: [уточнить].</w:t>
      </w:r>
    </w:p>
    <w:p>
      <w:pPr>
        <w:jc w:val="center"/>
        <w:spacing w:after="80"/>
      </w:pPr>
      <w:r>
        <w:rPr>
          <w:rFonts w:ascii="Times New Roman" w:hAnsi="Times New Roman"/>
          <w:b/>
          <w:sz w:val="26"/>
          <w:szCs w:val="26"/>
        </w:rPr>
        <w:t xml:space="preserve">2 Цель выполнения, наименование, назначение и область применения изделия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Цель — разработка сменной интерфейсной субплаты 4×IEEE C37.94 и функционального модуля релейной защиты для универсального базового модуля AMC семейства ДММП.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Изделие предназначено для обеспечения оптических каналов терминалов РЗА/ДЗЛ и ДФЗ, противоаварийной автоматики и регистраторов аварийных событий подстанций ДММП. Каналы должны обеспечивать прозрачную передачу N×64 кбит/с с фиксированной низкой задержкой, симметрией, резервированием P2 и безопасным аварийным поведением.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Аппаратная часть включает субплату, интерфейсы, защитные цепи, трансиверы и EEPROM. Логическая часть — функциональный модуль ПЛИС базовой платы, автоматически активируемый по Board ID. AMC устанавливают на Carrier платформы ДММП.</w:t>
      </w:r>
    </w:p>
    <w:p>
      <w:pPr>
        <w:jc w:val="center"/>
        <w:spacing w:after="80"/>
      </w:pPr>
      <w:r>
        <w:rPr>
          <w:rFonts w:ascii="Times New Roman" w:hAnsi="Times New Roman"/>
          <w:b/>
          <w:sz w:val="26"/>
          <w:szCs w:val="26"/>
        </w:rPr>
        <w:t xml:space="preserve">3 Технические требования к изделию</w:t>
      </w:r>
    </w:p>
    <w:p>
      <w:pPr>
        <w:jc w:val="center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3.1 Архитектура и оптические интерфейсы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3.1.1 Субплата должна иметь четыре независимых оптических порта LC/SFP, трансиверы 850/1310 нм с CDR, защитные цепи, DDM/DOM, EEPROM с Board ID 0x05 и индикацию.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3.1.2 Связь субплаты с базовой платой должна выполняться по B2B. Базовая плата должна предоставлять +12 В, +3,3 В, MMC, тактирование и автоматическую загрузку bitstream из Flash по Board ID.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3.1.3 Субплата должна иметь четыре экранированные корзины SFP либо дуплексные LC с отдельными волокнами TX/RX. Окончательное исполнение LC/SFP: [уточнить].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3.1.4 Для оптики 850 нм должны поддерживаться многомодовые волокна 50/125 или 62,5/125 мкм на расстоянии до 2 км. Для оптики 1310 нм должно поддерживаться одномодовое волокно 9/125 мкм на расстоянии 20–40 км.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3.1.5 На субплате должны быть предусмотрены линии TX_DISABLE, TX_FAULT, RX_LOS. DDM/DOM должен опрашиваться по I2C согласно SFF-8472; должны контролироваться мощность TX/RX, температура и ток лазера с передачей телеметрии в РМО.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3.1.6 Каждый порт независимо должен передавать N = 1…12 каналов по 64 кбит/с; полезная скорость — 64–768 кбит/с, кадровый поток — 2048 кбит/с. Интерфейс должен соответствовать IEEE C37.94-2017 с совместимостью IEEE C37.94-2002 и передавать пользовательские биты без изменения или инверсии.</w:t>
      </w:r>
    </w:p>
    <w:p>
      <w:pPr>
        <w:jc w:val="center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3.2 Пакетная передача, резервирование и безопасные состояния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3.2.1 C37.94-over-Packet должен использовать Ethernet L2, фиксированный период пакетизации, Fabric 10GbE и Strict Priority QoS по IEEE 802.1p/Q. L3/UDP/IP применяется при необходимости с процессорным ядром SoC FPGA либо статической аппаратной подстановкой заголовка.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3.2.2 Задержка должна быть фиксированной и детерминированной. Асимметрия прямого и обратного направлений должна быть не более ±10 мкс во всём диапазоне температур и сетевой нагрузки. Независимый джиттер-буфер должен компенсировать PDV без выпадения кадров.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3.2.3 Ретрансляция потерянных пакетов запрещена. Единичный пропуск должен фиксироваться как ошибка и обозначаться Yellow Alarm / LOF; превышение настраиваемого порога последовательных потерь должно вызывать Laser Off. Число потерь, абсолютная задержка и значение настраиваемого порога: [уточнить]; от них зависит полная проверка реакции на последовательные потери.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3.2.4 P2 (Hitless 1+1) должен передавать две идентичные копии по независимым трактам и выполнять поштучную дедупликацию без потери битов при отказе одного пути. При LOS/LOF либо потере сетевого тракта должен формироваться Yellow Alarm или выполняться немедленный Laser Off. Недостоверные, случайные и повторно воспроизведённые устаревшие данные РЗА запрещены. Условия выбора безопасного состояния при сохранении второго пути: [уточнить].</w:t>
      </w:r>
    </w:p>
    <w:p>
      <w:pPr>
        <w:jc w:val="center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3.3 Тактирование, диагностика и конструкция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3.3.1 Режимы каждого порта: Loop timing от входного сигнала, TCLK 19,44 МГц, PTPv2, локальный Holdover. Восстановленные 2048 кГц выбранного порта должны выдаваться в RX_CLK; джиттер и вандер должны соответствовать ITU-T G.823.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3.3.2 Должны контролироваться LOS, LOF, Yellow Alarm, битовые ошибки и DDM. На каждом порту должны быть Optical Loopback, Payload Loopback, Ethernet Packet Loopback, а также генератор/анализатор PRBS 2^15−1 и 2^23−1.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3.3.3 Потребляемая мощность субплаты должна быть не более 12 Вт, сборки с базовой платой — не более 35 Вт.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3.3.4 Конструкция — Single Full-size AMC.0 размерами 73,5 × 180,6 × 28,95 мм. Межплатное крепление должно выполняться на 4–6 металлических стойках М2,5.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3.3.5 Стойкость должна соответствовать ГОСТ РВ 20.39.304-98, группам 1.1, 1.3, 1.4.1, исполнению «О»: рабочая температура −10…+50 °C, предельная −40…+65 °C, синусоидальная вибрация 5g, удары 15g. Радиопомехи — группа 1.1.1 ГОСТ В 25803-91.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3.3.6 MTBF должен быть не менее 15 000 ч; назначенный срок службы — не менее 20 лет.</w:t>
      </w:r>
    </w:p>
    <w:p>
      <w:pPr>
        <w:jc w:val="center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3.4 Проверка существенных параметров и безопасных режимов</w:t>
      </w:r>
    </w:p>
    <w:tbl>
      <w:tblPr>
        <w:tblW w:w="0" w:type="auto"/>
        <w:tblLayout w:type="autofit"/>
      </w:tblPr>
      <w:tr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Требования</w:t>
            </w:r>
          </w:p>
        </w:tc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Метод и условие</w:t>
            </w:r>
          </w:p>
        </w:tc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Наблюдаемый результат / критерий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3.1.1–3.1.6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Осмотр, проверка интерфейсов и передача по каждому порту при N = 1…12.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Наличие четырёх портов; передача 64–768 кбит/с и потока 2048 кбит/с без изменения или инверсии пользовательских битов; совместимость 2017/2002.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3.2.1–3.2.2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Измерение при всём диапазоне температур и сетевой нагрузки.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Фиксированная детерминированная задержка; асимметрия не более ±10 мкс; PDV компенсирован без выпадения кадров. Абсолютная задержка: [уточнить].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3.2.3–3.2.4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Тест единичного и последовательных пропусков, LOS/LOF, потери сетевого тракта и отказа одного независимого пути.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Единичный пропуск обозначен Yellow Alarm / LOF; Laser Off при превышении порога; P2 без потери битов при отказе одного пути; недостоверные и устаревшие данные не передаются. Порог и выбор безопасного состояния при сохранении второго пути: [уточнить].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3.3.1–3.3.6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Измерение RX_CLK, джиттера/вандера, мощности, размеров и внешних воздействий; тест петель и PRBS.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2048 кГц в RX_CLK; соответствие G.823; показатели мощности, конструкции, стойкости и надёжности — по 3.3.3–3.3.6; петли и PRBS доступны на каждом порту.</w:t>
            </w:r>
          </w:p>
        </w:tc>
      </w:tr>
    </w:tbl>
    <w:p>
      <w:pPr>
        <w:jc w:val="both"/>
        <w:spacing w:after="80"/>
      </w:pPr>
      <w:r>
        <w:rPr>
          <w:rFonts w:ascii="Times New Roman" w:hAnsi="Times New Roman"/>
          <w:sz w:val="22"/>
          <w:szCs w:val="22"/>
        </w:rPr>
        <w:t xml:space="preserve"/>
      </w:r>
    </w:p>
    <w:p>
      <w:pPr>
        <w:jc w:val="center"/>
        <w:spacing w:after="80"/>
      </w:pPr>
      <w:r>
        <w:rPr>
          <w:rFonts w:ascii="Times New Roman" w:hAnsi="Times New Roman"/>
          <w:b/>
          <w:sz w:val="26"/>
          <w:szCs w:val="26"/>
        </w:rPr>
        <w:t xml:space="preserve">4 Технико-экономические требования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Технико-экономические требования не предъявляются.</w:t>
      </w:r>
    </w:p>
    <w:p>
      <w:pPr>
        <w:jc w:val="center"/>
        <w:spacing w:after="80"/>
      </w:pPr>
      <w:r>
        <w:rPr>
          <w:rFonts w:ascii="Times New Roman" w:hAnsi="Times New Roman"/>
          <w:b/>
          <w:sz w:val="26"/>
          <w:szCs w:val="26"/>
        </w:rPr>
        <w:t xml:space="preserve">5 Требования к видам обеспечения</w:t>
      </w:r>
    </w:p>
    <w:p>
      <w:pPr>
        <w:jc w:val="center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5.1 Нормативное обеспечение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При разработке должны применяться документы, приведённые в перечне применимых нормативных и справочных документов настоящего ТЗ.</w:t>
      </w:r>
    </w:p>
    <w:p>
      <w:pPr>
        <w:jc w:val="center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5.2 Метрологическое обеспечение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Должны быть предусмотрены средства и методики измерения оптической мощности, джиттера по ITU-T G.823, сквозной задержки и асимметрии. Допуски, кроме указанных в настоящем ТЗ, не установлены.</w:t>
      </w:r>
    </w:p>
    <w:p>
      <w:pPr>
        <w:jc w:val="center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5.3 Диагностическое обеспечение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Должны выполняться регистрация DDM, LOS/LOF/Yellow Alarm и статистики задержки, формирование сообщений и отчётов для РМО.</w:t>
      </w:r>
    </w:p>
    <w:p>
      <w:pPr>
        <w:jc w:val="center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5.4 Программное обеспечение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Должны быть разработаны bitstream функционального модуля для Flash базовой платы, драйверы Linux и MIB для РМО.</w:t>
      </w:r>
    </w:p>
    <w:p>
      <w:pPr>
        <w:jc w:val="center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5.5 Проверка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Проверкой программных и диагностических функций должно быть подтверждено наличие регистрации и выдачи в РМО данных, указанных в 5.3, а также bitstream, драйверов Linux и MIB, указанных в 5.4. Параметры методик измерений, не заданные настоящим ТЗ, подлежат уточнению при их разработке.</w:t>
      </w:r>
    </w:p>
    <w:p>
      <w:pPr>
        <w:jc w:val="center"/>
        <w:spacing w:after="80"/>
      </w:pPr>
      <w:r>
        <w:rPr>
          <w:rFonts w:ascii="Times New Roman" w:hAnsi="Times New Roman"/>
          <w:b/>
          <w:sz w:val="26"/>
          <w:szCs w:val="26"/>
        </w:rPr>
        <w:t xml:space="preserve">6 Требования к сырью, материалам и комплектующим изделиям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Следует применять преимущественно отечественные материалы и комплектующие изделия с приёмкой ОТК. При отсутствии аналогов допускается применять импортную ЭКБ промышленного температурного диапазона.</w:t>
      </w:r>
    </w:p>
    <w:p>
      <w:pPr>
        <w:jc w:val="center"/>
        <w:spacing w:after="80"/>
      </w:pPr>
      <w:r>
        <w:rPr>
          <w:rFonts w:ascii="Times New Roman" w:hAnsi="Times New Roman"/>
          <w:b/>
          <w:sz w:val="26"/>
          <w:szCs w:val="26"/>
        </w:rPr>
        <w:t xml:space="preserve">7 Требования к консервации, упаковке и маркировке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Маркировка должна содержать децимальный и серийный номера, ревизию и обозначения портов C37-1…C37-4. Оптические разъёмы должны быть защищены колпачками. Хранение в заводской таре должно быть не менее 1 года по ГОСТ 15150. Условия консервации не заданы.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Проверкой осмотром должна быть подтверждена маркировка и наличие защитных колпачков; проверкой документации по хранению — срок не менее 1 года. Условия консервации: [уточнить], источник уточнения — требования заказчика или применимый документ.</w:t>
      </w:r>
    </w:p>
    <w:p>
      <w:pPr>
        <w:jc w:val="center"/>
        <w:spacing w:after="80"/>
      </w:pPr>
      <w:r>
        <w:rPr>
          <w:rFonts w:ascii="Times New Roman" w:hAnsi="Times New Roman"/>
          <w:b/>
          <w:sz w:val="26"/>
          <w:szCs w:val="26"/>
        </w:rPr>
        <w:t xml:space="preserve">8 Специальные требования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8.1 РМО (C++/Qt) должно отображать мнемосхему четырёх портов, N, DDM в дБм, LOS/LOF/Yellow Alarm, задержку, асимметрию и статус P2.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8.2 РМО должно поддерживать команды настройки N, режима тактирования и P2, управления петлями и запуска PRBS.</w:t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8.3 Проверкой функций РМО должно быть подтверждено отображение сведений по 8.1 и выполнение команд по 8.2. Числовые значения абсолютной задержки и порога последовательных потерь, выводимые и используемые РМО, зависят от сведений, отмеченных в 3.2.3 как [уточнить].</w:t>
      </w:r>
    </w:p>
    <w:p>
      <w:r>
        <w:br w:type="page"/>
      </w:r>
    </w:p>
    <w:p>
      <w:pPr>
        <w:jc w:val="center"/>
        <w:spacing w:after="80"/>
      </w:pPr>
      <w:r>
        <w:rPr>
          <w:rFonts w:ascii="Times New Roman" w:hAnsi="Times New Roman"/>
          <w:b/>
          <w:sz w:val="26"/>
          <w:szCs w:val="26"/>
        </w:rPr>
        <w:t xml:space="preserve">Последний лист ТЗ</w:t>
      </w:r>
    </w:p>
    <w:p>
      <w:pPr>
        <w:jc w:val="justify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Разработчик ТЗ:</w:t>
      </w:r>
    </w:p>
    <w:tbl>
      <w:tblPr>
        <w:tblW w:w="0" w:type="auto"/>
        <w:tblLayout w:type="autofit"/>
      </w:tblPr>
      <w:tr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Должность, организация разработчика ТЗ</w:t>
            </w:r>
          </w:p>
        </w:tc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Подпись, инициалы, фамилия</w:t>
            </w:r>
          </w:p>
        </w:tc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Дата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[уточнить]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[уточнить]</w:t>
            </w:r>
          </w:p>
        </w:tc>
      </w:tr>
    </w:tbl>
    <w:p>
      <w:pPr>
        <w:jc w:val="both"/>
        <w:spacing w:after="80"/>
      </w:pPr>
      <w:r>
        <w:rPr>
          <w:rFonts w:ascii="Times New Roman" w:hAnsi="Times New Roman"/>
          <w:sz w:val="22"/>
          <w:szCs w:val="22"/>
        </w:rPr>
        <w:t xml:space="preserve"/>
      </w:r>
    </w:p>
    <w:p>
      <w:pPr>
        <w:jc w:val="justify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СОГЛАСОВАНО</w:t>
      </w:r>
    </w:p>
    <w:tbl>
      <w:tblPr>
        <w:tblW w:w="0" w:type="auto"/>
        <w:tblLayout w:type="autofit"/>
      </w:tblPr>
      <w:tr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Должность, головной исполнитель</w:t>
            </w:r>
          </w:p>
        </w:tc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Подпись, инициалы, фамилия</w:t>
            </w:r>
          </w:p>
        </w:tc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Дата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[уточнить]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[уточнить]</w:t>
            </w:r>
          </w:p>
        </w:tc>
      </w:tr>
    </w:tbl>
    <w:p>
      <w:pPr>
        <w:jc w:val="both"/>
        <w:spacing w:after="80"/>
      </w:pPr>
      <w:r>
        <w:rPr>
          <w:rFonts w:ascii="Times New Roman" w:hAnsi="Times New Roman"/>
          <w:sz w:val="22"/>
          <w:szCs w:val="22"/>
        </w:rPr>
        <w:t xml:space="preserve"/>
      </w:r>
    </w:p>
    <w:p>
      <w:pPr>
        <w:jc w:val="justify"/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СОГЛАСОВАНО</w:t>
      </w:r>
    </w:p>
    <w:tbl>
      <w:tblPr>
        <w:tblW w:w="0" w:type="auto"/>
        <w:tblLayout w:type="autofit"/>
      </w:tblPr>
      <w:tr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Должность, другие организации, согласующие ТЗ</w:t>
            </w:r>
          </w:p>
        </w:tc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Подпись, инициалы, фамилия</w:t>
            </w:r>
          </w:p>
        </w:tc>
        <w:tc>
          <w:tcPr>
            <w:shd w:fill="D9E2F3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Дата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[уточнить]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[уточнить]</w:t>
            </w:r>
          </w:p>
        </w:tc>
      </w:tr>
    </w:tbl>
    <w:p>
      <w:pPr>
        <w:jc w:val="both"/>
        <w:spacing w:after="80"/>
      </w:pPr>
      <w:r>
        <w:rPr>
          <w:rFonts w:ascii="Times New Roman" w:hAnsi="Times New Roman"/>
          <w:sz w:val="22"/>
          <w:szCs w:val="22"/>
        </w:rPr>
        <w:t xml:space="preserve"/>
      </w:r>
    </w:p>
    <w:p>
      <w:pPr>
        <w:jc w:val="justify"/>
        <w:spacing w:after="80"/>
      </w:pPr>
      <w:r>
        <w:rPr>
          <w:rFonts w:ascii="Times New Roman" w:hAnsi="Times New Roman"/>
          <w:sz w:val="22"/>
          <w:szCs w:val="22"/>
        </w:rPr>
        <w:t xml:space="preserve">Примечание — Реквизиты и состав согласующих организаций не заданы.</w:t>
      </w:r>
    </w:p>
    <w:sectPr>
      <w:footerReference w:type="default" r:id="rId1"/>
      <w:pgSz w:w="11906" w:h="16838"/>
      <w:pgMar w:top="1020" w:right="850" w:bottom="907" w:left="1417"/>
      <w:pgNumType w:fmt="decimal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ftr>
</file>

<file path=word/_rels/document.xml.rels><?xml version="1.0" encoding="UTF-8"?><Relationships xmlns="http://schemas.openxmlformats.org/package/2006/relationships"><Relationship Id="rId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Техническое задание «Развитие-ТСА»</dc:title>
  <dc:language>ru-RU</dc:language>
</cp:coreProperties>
</file>