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 w:jc="right"</w:pPr>
      <w:r>
        <w:rPr>
          <w:b/>
        </w:rPr>
        <w:t xml:space="preserve">УТВЕРЖДЕНО</w:t>
      </w:r>
    </w:p>
    <w:p>
      <w:pPr> w:jc="right"</w:pPr>
      <w:r>
        <w:rPr/>
        <w:t xml:space="preserve">[уточнить должность]
[уточнить подпись, инициалы, фамилия]
«___» __________ 20__ г.</w:t>
      </w:r>
    </w:p>
    <w:p>
      <w:pPr> w:jc="right"</w:pPr>
      <w:r>
        <w:rPr>
          <w:b/>
        </w:rPr>
        <w:t xml:space="preserve">СОГЛАСОВАНО</w:t>
      </w:r>
    </w:p>
    <w:p>
      <w:pPr> w:jc="right"</w:pPr>
      <w:r>
        <w:rPr/>
        <w:t xml:space="preserve">[уточнить должность]
[уточнить подпись, инициалы, фамилия]
«___» __________ 20__ г.</w:t>
      </w:r>
    </w:p>
    <w:p>
      <w:pPr> w:jc="center"</w:pPr>
      <w:r>
        <w:rPr>
          <w:b/>
        </w:rPr>
        <w:t xml:space="preserve">ТЕХНИЧЕСКОЕ ЗАДАНИЕ</w:t>
      </w:r>
    </w:p>
    <w:p>
      <w:pPr> w:jc="center"</w:pPr>
      <w:r>
        <w:rPr>
          <w:b/>
        </w:rPr>
        <w:t xml:space="preserve">на составную часть опытно-конструкторской работы
«Развитие-ТСА»</w:t>
      </w:r>
    </w:p>
    <w:p>
      <w:pPr> w:jc="center"</w:pPr>
      <w:r>
        <w:rPr>
          <w:b/>
        </w:rPr>
        <w:t xml:space="preserve">Разработка сменной интерфейсной субплаты 8×E1 и функционального модуля E1
для универсального базового модуля AMC семейства ДММП</w:t>
      </w:r>
    </w:p>
    <w:p>
      <w:pPr> w:jc="center"</w:pPr>
      <w:r>
        <w:rPr/>
        <w:t xml:space="preserve">Обозначение документа: [уточнить]
Регистрационный номер: [уточнить]
Версия: [уточнить]
Разработчик: ООО «тушканчик»
Москва, 20__ г.</w:t>
      </w:r>
    </w:p>
    <w:p>
      <w:pPr/>
      <w:r>
        <w:rPr>
          <w:b/>
          <w:i/>
        </w:rPr>
        <w:t xml:space="preserve">Примечание: Номер и дата приказа, календарные даты, должности, ФИО, подписи, регистрационный номер и иные незаданные реквизиты подлежат уточнению.</w:t>
      </w:r>
    </w:p>
    <w:p>
      <w:pPr/>
      <w:r>
        <w:br w:type="page"/>
      </w:r>
    </w:p>
    <w:p>
      <w:pPr> w:jc="center"</w:pPr>
      <w:r>
        <w:rPr>
          <w:b/>
        </w:rPr>
        <w:t xml:space="preserve">ЛИСТ СОГЛАСОВАНИЯ</w:t>
      </w:r>
    </w:p>
    <w:tbl>
      <w:tblPr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r>
              <w:t xml:space="preserve">Организация / подразделение</w:t>
            </w:r>
          </w:p>
        </w:tc>
        <w:tc>
          <w:p>
            <w:r>
              <w:t xml:space="preserve">Должность</w:t>
            </w:r>
          </w:p>
        </w:tc>
        <w:tc>
          <w:p>
            <w:r>
              <w:t xml:space="preserve">Подпись</w:t>
            </w:r>
          </w:p>
        </w:tc>
        <w:tc>
          <w:p>
            <w:r>
              <w:t xml:space="preserve">Инициалы, фамилия</w:t>
            </w:r>
          </w:p>
        </w:tc>
        <w:tc>
          <w:p>
            <w:r>
              <w:t xml:space="preserve">Дата</w:t>
            </w:r>
          </w:p>
        </w:tc>
      </w:tr>
      <w:tr>
        <w:tc>
          <w:p>
            <w:r>
              <w:t xml:space="preserve">Заказчик</w:t>
            </w:r>
          </w:p>
        </w:tc>
        <w:tc>
          <w:p>
            <w:r>
              <w:t xml:space="preserve">[уточнить]</w:t>
            </w:r>
          </w:p>
        </w:tc>
        <w:tc>
          <w:p>
            <w:r>
              <w:t xml:space="preserve">[уточнить]</w:t>
            </w:r>
          </w:p>
        </w:tc>
        <w:tc>
          <w:p>
            <w:r>
              <w:t xml:space="preserve">[уточнить]</w:t>
            </w:r>
          </w:p>
        </w:tc>
        <w:tc>
          <w:p>
            <w:r>
              <w:t xml:space="preserve">[уточнить]</w:t>
            </w:r>
          </w:p>
        </w:tc>
      </w:tr>
      <w:tr>
        <w:tc>
          <w:p>
            <w:r>
              <w:t xml:space="preserve">Головной исполнитель ОКР</w:t>
            </w:r>
          </w:p>
        </w:tc>
        <w:tc>
          <w:p>
            <w:r>
              <w:t xml:space="preserve">[уточнить]</w:t>
            </w:r>
          </w:p>
        </w:tc>
        <w:tc>
          <w:p>
            <w:r>
              <w:t xml:space="preserve">[уточнить]</w:t>
            </w:r>
          </w:p>
        </w:tc>
        <w:tc>
          <w:p>
            <w:r>
              <w:t xml:space="preserve">[уточнить]</w:t>
            </w:r>
          </w:p>
        </w:tc>
        <w:tc>
          <w:p>
            <w:r>
              <w:t xml:space="preserve">[уточнить]</w:t>
            </w:r>
          </w:p>
        </w:tc>
      </w:tr>
      <w:tr>
        <w:tc>
          <w:p>
            <w:r>
              <w:t xml:space="preserve">Исполнитель СЧ ОКР — ООО «тушканчик»</w:t>
            </w:r>
          </w:p>
        </w:tc>
        <w:tc>
          <w:p>
            <w:r>
              <w:t xml:space="preserve">[уточнить]</w:t>
            </w:r>
          </w:p>
        </w:tc>
        <w:tc>
          <w:p>
            <w:r>
              <w:t xml:space="preserve">[уточнить]</w:t>
            </w:r>
          </w:p>
        </w:tc>
        <w:tc>
          <w:p>
            <w:r>
              <w:t xml:space="preserve">[уточнить]</w:t>
            </w:r>
          </w:p>
        </w:tc>
        <w:tc>
          <w:p>
            <w:r>
              <w:t xml:space="preserve">[уточнить]</w:t>
            </w:r>
          </w:p>
        </w:tc>
      </w:tr>
      <w:tr>
        <w:tc>
          <w:p>
            <w:r>
              <w:t xml:space="preserve">Другие организации</w:t>
            </w:r>
          </w:p>
        </w:tc>
        <w:tc>
          <w:p>
            <w:r>
              <w:t xml:space="preserve">[при необходимости уточнить]</w:t>
            </w:r>
          </w:p>
        </w:tc>
        <w:tc>
          <w:p>
            <w:r>
              <w:t xml:space="preserve">[уточнить]</w:t>
            </w:r>
          </w:p>
        </w:tc>
        <w:tc>
          <w:p>
            <w:r>
              <w:t xml:space="preserve">[уточнить]</w:t>
            </w:r>
          </w:p>
        </w:tc>
        <w:tc>
          <w:p>
            <w:r>
              <w:t xml:space="preserve">[уточнить]</w:t>
            </w:r>
          </w:p>
        </w:tc>
      </w:tr>
    </w:tbl>
    <w:p>
      <w:pPr/>
      <w:r>
        <w:rPr>
          <w:b/>
          <w:i/>
        </w:rPr>
        <w:t xml:space="preserve">Примечание: Состав согласующих организаций и уровни должностных лиц не заданы. Лист предусмотрен по запросу задания и заполняется при согласовании ТЗ.</w:t>
      </w:r>
    </w:p>
    <w:p>
      <w:pPr/>
      <w:r>
        <w:br w:type="page"/>
      </w:r>
    </w:p>
    <w:p>
      <w:pPr> w:jc="center"</w:pPr>
      <w:r>
        <w:rPr>
          <w:b/>
        </w:rPr>
        <w:t xml:space="preserve">ОБОЗНАЧЕНИЯ И СОКРАЩЕНИЯ</w:t>
      </w:r>
    </w:p>
    <w:tbl>
      <w:tblPr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r>
              <w:t xml:space="preserve">Обозначение</w:t>
            </w:r>
          </w:p>
        </w:tc>
        <w:tc>
          <w:p>
            <w:r>
              <w:t xml:space="preserve">Расшифровка / значение</w:t>
            </w:r>
          </w:p>
        </w:tc>
      </w:tr>
      <w:tr>
        <w:tc>
          <w:p>
            <w:r>
              <w:t xml:space="preserve">AMC</w:t>
            </w:r>
          </w:p>
        </w:tc>
        <w:tc>
          <w:p>
            <w:r>
              <w:t xml:space="preserve">[уточнить полную расшифровку; обозначение платформы]</w:t>
            </w:r>
          </w:p>
        </w:tc>
      </w:tr>
      <w:tr>
        <w:tc>
          <w:p>
            <w:r>
              <w:t xml:space="preserve">ПЛИС</w:t>
            </w:r>
          </w:p>
        </w:tc>
        <w:tc>
          <w:p>
            <w:r>
              <w:t xml:space="preserve">[уточнить полную расшифровку]</w:t>
            </w:r>
          </w:p>
        </w:tc>
      </w:tr>
      <w:tr>
        <w:tc>
          <w:p>
            <w:r>
              <w:t xml:space="preserve">B2B</w:t>
            </w:r>
          </w:p>
        </w:tc>
        <w:tc>
          <w:p>
            <w:r>
              <w:t xml:space="preserve">[уточнить полную расшифровку; межплатный интерфейс]</w:t>
            </w:r>
          </w:p>
        </w:tc>
      </w:tr>
      <w:tr>
        <w:tc>
          <w:p>
            <w:r>
              <w:t xml:space="preserve">Board ID</w:t>
            </w:r>
          </w:p>
        </w:tc>
        <w:tc>
          <w:p>
            <w:r>
              <w:t xml:space="preserve">идентификатор платы; числовое значение: [уточнить]</w:t>
            </w:r>
          </w:p>
        </w:tc>
      </w:tr>
      <w:tr>
        <w:tc>
          <w:p>
            <w:r>
              <w:t xml:space="preserve">MMC</w:t>
            </w:r>
          </w:p>
        </w:tc>
        <w:tc>
          <w:p>
            <w:r>
              <w:t xml:space="preserve">[уточнить полную расшифровку]</w:t>
            </w:r>
          </w:p>
        </w:tc>
      </w:tr>
      <w:tr>
        <w:tc>
          <w:p>
            <w:r>
              <w:t xml:space="preserve">РМО</w:t>
            </w:r>
          </w:p>
        </w:tc>
        <w:tc>
          <w:p>
            <w:r>
              <w:t xml:space="preserve">[уточнить полную расшифровку; рабочее место оператора]</w:t>
            </w:r>
          </w:p>
        </w:tc>
      </w:tr>
      <w:tr>
        <w:tc>
          <w:p>
            <w:r>
              <w:t xml:space="preserve">ОКР</w:t>
            </w:r>
          </w:p>
        </w:tc>
        <w:tc>
          <w:p>
            <w:r>
              <w:t xml:space="preserve">опытно-конструкторская работа</w:t>
            </w:r>
          </w:p>
        </w:tc>
      </w:tr>
      <w:tr>
        <w:tc>
          <w:p>
            <w:r>
              <w:t xml:space="preserve">РКД</w:t>
            </w:r>
          </w:p>
        </w:tc>
        <w:tc>
          <w:p>
            <w:r>
              <w:t xml:space="preserve">рабочая конструкторская документация</w:t>
            </w:r>
          </w:p>
        </w:tc>
      </w:tr>
      <w:tr>
        <w:tc>
          <w:p>
            <w:r>
              <w:t xml:space="preserve">ПМИ</w:t>
            </w:r>
          </w:p>
        </w:tc>
        <w:tc>
          <w:p>
            <w:r>
              <w:t xml:space="preserve">программа и методика испытаний</w:t>
            </w:r>
          </w:p>
        </w:tc>
      </w:tr>
      <w:tr>
        <w:tc>
          <w:p>
            <w:r>
              <w:t xml:space="preserve">E1</w:t>
            </w:r>
          </w:p>
        </w:tc>
        <w:tc>
          <w:p>
            <w:r>
              <w:t xml:space="preserve">цифровой поток 2048 кбит/с; точное расширение не задано</w:t>
            </w:r>
          </w:p>
        </w:tc>
      </w:tr>
      <w:tr>
        <w:tc>
          <w:p>
            <w:r>
              <w:t xml:space="preserve">TDM</w:t>
            </w:r>
          </w:p>
        </w:tc>
        <w:tc>
          <w:p>
            <w:r>
              <w:t xml:space="preserve">передача с временным разделением каналов; полная расшифровка [уточнить]</w:t>
            </w:r>
          </w:p>
        </w:tc>
      </w:tr>
      <w:tr>
        <w:tc>
          <w:p>
            <w:r>
              <w:t xml:space="preserve">SAToP</w:t>
            </w:r>
          </w:p>
        </w:tc>
        <w:tc>
          <w:p>
            <w:r>
              <w:t xml:space="preserve">профиль передачи неструктурированного E1 по RFC 4553</w:t>
            </w:r>
          </w:p>
        </w:tc>
      </w:tr>
      <w:tr>
        <w:tc>
          <w:p>
            <w:r>
              <w:t xml:space="preserve">CESoPSN</w:t>
            </w:r>
          </w:p>
        </w:tc>
        <w:tc>
          <w:p>
            <w:r>
              <w:t xml:space="preserve">профиль передачи структурированного E1 по RFC 5086</w:t>
            </w:r>
          </w:p>
        </w:tc>
      </w:tr>
      <w:tr>
        <w:tc>
          <w:p>
            <w:r>
              <w:t xml:space="preserve">LIU, EEPROM, Flash, MIB, SNMP, QoS, PDV, BER, PRBS, LOS, LOF, AIS, RAI, CRC-4, HDB3, AMI, ACR, TCLK, MTBF, ESD, CAS, CCS, TS</w:t>
            </w:r>
          </w:p>
        </w:tc>
        <w:tc>
          <w:p>
            <w:r>
              <w:t xml:space="preserve">[уточнить полные расшифровки; значения и функции приведены в требованиях ТЗ]</w:t>
            </w:r>
          </w:p>
        </w:tc>
      </w:tr>
    </w:tbl>
    <w:p>
      <w:pPr/>
      <w:r>
        <w:rPr>
          <w:b/>
          <w:i/>
        </w:rPr>
        <w:t xml:space="preserve">Примечание: Термины «субплата», «функциональный модуль», «базовая плата», «Carrier», «Fabric 10GbE», «джиттер», «вандер», «Holdover», «Free-run» и «Loop timing» используются в значениях исходных требований; отдельные определения источниками не приведены.</w:t>
      </w:r>
    </w:p>
    <w:p>
      <w:pPr/>
      <w:r>
        <w:br w:type="page"/>
      </w:r>
    </w:p>
    <w:p>
      <w:pPr> w:jc="center"</w:pPr>
      <w:r>
        <w:rPr>
          <w:b/>
        </w:rPr>
        <w:t xml:space="preserve">ПЕРЕЧЕНЬ ПРИМЕНИМЫХ НОРМАТИВНЫХ И СПРАВОЧНЫХ ДОКУМЕНТОВ</w:t>
      </w:r>
    </w:p>
    <w:p>
      <w:pPr/>
      <w:r>
        <w:rPr>
          <w:b/>
        </w:rPr>
        <w:t xml:space="preserve">НД-01 </w:t>
      </w:r>
      <w:r>
        <w:rPr/>
        <w:t xml:space="preserve">ГОСТ 15.016-2016 «Система разработки и постановки продукции на производство. Техническое задание. Требования к содержанию и оформлению» (разделы 6.1, 6.2, 7.1 — в применимой части);</w:t>
      </w:r>
    </w:p>
    <w:p>
      <w:pPr/>
      <w:r>
        <w:rPr>
          <w:b/>
        </w:rPr>
        <w:t xml:space="preserve">НД-02 </w:t>
      </w:r>
      <w:r>
        <w:rPr/>
        <w:t xml:space="preserve">ITU-T G.703;</w:t>
      </w:r>
    </w:p>
    <w:p>
      <w:pPr/>
      <w:r>
        <w:rPr>
          <w:b/>
        </w:rPr>
        <w:t xml:space="preserve">НД-03 </w:t>
      </w:r>
      <w:r>
        <w:rPr/>
        <w:t xml:space="preserve">ITU-T G.704;</w:t>
      </w:r>
    </w:p>
    <w:p>
      <w:pPr/>
      <w:r>
        <w:rPr>
          <w:b/>
        </w:rPr>
        <w:t xml:space="preserve">НД-04 </w:t>
      </w:r>
      <w:r>
        <w:rPr/>
        <w:t xml:space="preserve">ITU-T G.823;</w:t>
      </w:r>
    </w:p>
    <w:p>
      <w:pPr/>
      <w:r>
        <w:rPr>
          <w:b/>
        </w:rPr>
        <w:t xml:space="preserve">НД-05 </w:t>
      </w:r>
      <w:r>
        <w:rPr/>
        <w:t xml:space="preserve">ITU-T G.826;</w:t>
      </w:r>
    </w:p>
    <w:p>
      <w:pPr/>
      <w:r>
        <w:rPr>
          <w:b/>
        </w:rPr>
        <w:t xml:space="preserve">НД-06 </w:t>
      </w:r>
      <w:r>
        <w:rPr/>
        <w:t xml:space="preserve">RFC 4553 (SAToP);</w:t>
      </w:r>
    </w:p>
    <w:p>
      <w:pPr/>
      <w:r>
        <w:rPr>
          <w:b/>
        </w:rPr>
        <w:t xml:space="preserve">НД-07 </w:t>
      </w:r>
      <w:r>
        <w:rPr/>
        <w:t xml:space="preserve">RFC 5086 (CESoPSN);</w:t>
      </w:r>
    </w:p>
    <w:p>
      <w:pPr/>
      <w:r>
        <w:rPr>
          <w:b/>
        </w:rPr>
        <w:t xml:space="preserve">НД-08 </w:t>
      </w:r>
      <w:r>
        <w:rPr/>
        <w:t xml:space="preserve">PICMG AMC.0 R2.0;</w:t>
      </w:r>
    </w:p>
    <w:p>
      <w:pPr/>
      <w:r>
        <w:rPr>
          <w:b/>
        </w:rPr>
        <w:t xml:space="preserve">НД-09 </w:t>
      </w:r>
      <w:r>
        <w:rPr/>
        <w:t xml:space="preserve">ГОСТ РВ 20.39.304-98;</w:t>
      </w:r>
    </w:p>
    <w:p>
      <w:pPr/>
      <w:r>
        <w:rPr>
          <w:b/>
        </w:rPr>
        <w:t xml:space="preserve">НД-10 </w:t>
      </w:r>
      <w:r>
        <w:rPr/>
        <w:t xml:space="preserve">ГОСТ В 25803-91;</w:t>
      </w:r>
    </w:p>
    <w:p>
      <w:pPr/>
      <w:r>
        <w:rPr>
          <w:b/>
        </w:rPr>
        <w:t xml:space="preserve">НД-11 </w:t>
      </w:r>
      <w:r>
        <w:rPr/>
        <w:t xml:space="preserve">ГОСТ 2.114-2016;</w:t>
      </w:r>
    </w:p>
    <w:p>
      <w:pPr/>
      <w:r>
        <w:rPr>
          <w:b/>
        </w:rPr>
        <w:t xml:space="preserve">НД-12 </w:t>
      </w:r>
      <w:r>
        <w:rPr/>
        <w:t xml:space="preserve">ГОСТ РВ 15.201-2003;</w:t>
      </w:r>
    </w:p>
    <w:p>
      <w:pPr/>
      <w:r>
        <w:rPr>
          <w:b/>
        </w:rPr>
        <w:t xml:space="preserve">НД-13 </w:t>
      </w:r>
      <w:r>
        <w:rPr/>
        <w:t xml:space="preserve">ГОСТ 15150.</w:t>
      </w:r>
    </w:p>
    <w:p>
      <w:pPr/>
      <w:r>
        <w:rPr>
          <w:b/>
          <w:i/>
        </w:rPr>
        <w:t xml:space="preserve">Примечание: Наименования и редакции документов, кроме ГОСТ 15.016-2016, в исходных требованиях приведены в сокращённом виде; дополнительные сведения не добавлялись.</w:t>
      </w:r>
    </w:p>
    <w:p>
      <w:pPr/>
      <w:r>
        <w:br w:type="page"/>
      </w:r>
    </w:p>
    <w:p>
      <w:pPr> w:pStyle w:val="Heading 1"</w:pPr>
      <w:r>
        <w:rPr/>
        <w:t xml:space="preserve">1 Наименование, шифр, основание, исполнители и сроки ОКР</w:t>
      </w:r>
    </w:p>
    <w:p>
      <w:pPr/>
      <w:r>
        <w:rPr>
          <w:b/>
        </w:rPr>
        <w:t xml:space="preserve">ТЗ-1.1 </w:t>
      </w:r>
      <w:r>
        <w:rPr/>
        <w:t xml:space="preserve">Разработать сменную интерфейсную субплату 8×E1 и функциональный модуль E1 для универсального базового модуля AMC семейства ДММП.</w:t>
      </w:r>
    </w:p>
    <w:p>
      <w:pPr/>
      <w:r>
        <w:rPr>
          <w:b/>
        </w:rPr>
        <w:t xml:space="preserve">ТЗ-1.2 </w:t>
      </w:r>
      <w:r>
        <w:rPr/>
        <w:t xml:space="preserve">Шифр ОКР — «Развитие-ТСА». Для составной части сохраняется этот шифр; дополнительный шифр составной части: [уточнить].</w:t>
      </w:r>
    </w:p>
    <w:p>
      <w:pPr/>
      <w:r>
        <w:rPr>
          <w:b/>
        </w:rPr>
        <w:t xml:space="preserve">ТЗ-1.3 </w:t>
      </w:r>
      <w:r>
        <w:rPr/>
        <w:t xml:space="preserve">Основание выполнения — приказ об открытии инициативной ОКР № [уточнить] от [уточнить].</w:t>
      </w:r>
    </w:p>
    <w:p>
      <w:pPr/>
      <w:r>
        <w:rPr>
          <w:b/>
        </w:rPr>
        <w:t xml:space="preserve">ТЗ-1.4 </w:t>
      </w:r>
      <w:r>
        <w:rPr/>
        <w:t xml:space="preserve">Исполнитель — ООО «тушканчик» (условное наименование из исходных данных).</w:t>
      </w:r>
    </w:p>
    <w:p>
      <w:pPr/>
      <w:r>
        <w:rPr>
          <w:b/>
        </w:rPr>
        <w:t xml:space="preserve">ТЗ-1.5 </w:t>
      </w:r>
      <w:r>
        <w:rPr/>
        <w:t xml:space="preserve">Сроки выполнения установить по утверждённому плану-графику разработки РКД, программной документации, изготовления образцов и испытаний; календарные даты: [уточнить].</w:t>
      </w:r>
    </w:p>
    <w:p>
      <w:pPr/>
      <w:r>
        <w:rPr>
          <w:b/>
        </w:rPr>
        <w:t xml:space="preserve">Проверка: Инспекция реквизитов приказа, шифра и исполнителя; анализ утверждённого плана-графика. Даты и ответственные лица блокируют окончательное заполнение пункта.</w:t>
      </w:r>
    </w:p>
    <w:p>
      <w:pPr> w:pStyle w:val="Heading 1"</w:pPr>
      <w:r>
        <w:rPr/>
        <w:t xml:space="preserve">2 Цель выполнения ОКР, наименование, назначение и область применения изделия</w:t>
      </w:r>
    </w:p>
    <w:p>
      <w:pPr/>
      <w:r>
        <w:rPr>
          <w:b/>
        </w:rPr>
        <w:t xml:space="preserve">ТЗ-2.1 </w:t>
      </w:r>
      <w:r>
        <w:rPr/>
        <w:t xml:space="preserve">Цель — подключить восемь независимых линий E1 к платформе ДММП с передачей TDM через Ethernet, компенсацией сетевого джиттера и восстановлением частоты.</w:t>
      </w:r>
    </w:p>
    <w:p>
      <w:pPr/>
      <w:r>
        <w:rPr>
          <w:b/>
        </w:rPr>
        <w:t xml:space="preserve">ТЗ-2.2 </w:t>
      </w:r>
      <w:r>
        <w:rPr/>
        <w:t xml:space="preserve">Объект разработки — сменная интерфейсная субплата 8×E1 и функциональный модуль E1 для универсального базового модуля AMC семейства ДММП.</w:t>
      </w:r>
    </w:p>
    <w:p>
      <w:pPr/>
      <w:r>
        <w:rPr>
          <w:b/>
        </w:rPr>
        <w:t xml:space="preserve">ТЗ-2.3 </w:t>
      </w:r>
      <w:r>
        <w:rPr/>
        <w:t xml:space="preserve">Субплата должна обеспечивать аппаратную часть: восемь интерфейсов E1, защиту, трансиверы, Board ID EEPROM и индикацию портов.</w:t>
      </w:r>
    </w:p>
    <w:p>
      <w:pPr/>
      <w:r>
        <w:rPr>
          <w:b/>
        </w:rPr>
        <w:t xml:space="preserve">ТЗ-2.4 </w:t>
      </w:r>
      <w:r>
        <w:rPr/>
        <w:t xml:space="preserve">Функциональный модуль ПЛИС базовой платы должен автоматически активироваться по Board ID. Базовая плата через B2B предоставляет +12 В/+3,3 В, MMC и тактирование, а также выбирает bitstream E1 из Flash по Board ID.</w:t>
      </w:r>
    </w:p>
    <w:p>
      <w:pPr/>
      <w:r>
        <w:rPr>
          <w:b/>
        </w:rPr>
        <w:t xml:space="preserve">ТЗ-2.5 </w:t>
      </w:r>
      <w:r>
        <w:rPr/>
        <w:t xml:space="preserve">AMC должен устанавливаться на Carrier платформы ДММП.</w:t>
      </w:r>
    </w:p>
    <w:p>
      <w:pPr/>
      <w:r>
        <w:rPr>
          <w:b/>
        </w:rPr>
        <w:t xml:space="preserve">ТЗ-2.6 </w:t>
      </w:r>
      <w:r>
        <w:rPr/>
        <w:t xml:space="preserve">Область применения — TDM/SDH/PDH, телефонные станции, диспетчеризация и АСУ ТП энергетических и промышленных предприятий.</w:t>
      </w:r>
    </w:p>
    <w:p>
      <w:pPr/>
      <w:r>
        <w:rPr>
          <w:b/>
        </w:rPr>
        <w:t xml:space="preserve">Проверка: Инспекция состава изделия и Board ID; анализ взаимодействия с базовой платой и Carrier; функциональное испытание автоматической активации и выбора bitstream. Числовой Board ID — [уточнить].</w:t>
      </w:r>
    </w:p>
    <w:p>
      <w:pPr> w:pStyle w:val="Heading 1"</w:pPr>
      <w:r>
        <w:rPr/>
        <w:t xml:space="preserve">3 Технические требования к изделию</w:t>
      </w:r>
    </w:p>
    <w:p>
      <w:pPr> w:pStyle w:val="Heading 2"</w:pPr>
      <w:r>
        <w:rPr/>
        <w:t xml:space="preserve">3.1 Состав, архитектура и линии E1</w:t>
      </w:r>
    </w:p>
    <w:p>
      <w:pPr/>
      <w:r>
        <w:rPr>
          <w:b/>
        </w:rPr>
        <w:t xml:space="preserve">ТЗ-3.1.1 </w:t>
      </w:r>
      <w:r>
        <w:rPr/>
        <w:t xml:space="preserve">Субплата должна содержать восемь экранированных разъёмов RJ-48C (8P8C), защиту, импульсные трансформаторы, восьмиканальный LIU, Board ID EEPROM и индикацию портов.</w:t>
      </w:r>
    </w:p>
    <w:p>
      <w:pPr/>
      <w:r>
        <w:rPr>
          <w:b/>
        </w:rPr>
        <w:t xml:space="preserve">ТЗ-3.1.2 </w:t>
      </w:r>
      <w:r>
        <w:rPr/>
        <w:t xml:space="preserve">Числовой Board ID — [уточнить].</w:t>
      </w:r>
    </w:p>
    <w:p>
      <w:pPr/>
      <w:r>
        <w:rPr>
          <w:b/>
        </w:rPr>
        <w:t xml:space="preserve">ТЗ-3.1.3 </w:t>
      </w:r>
      <w:r>
        <w:rPr/>
        <w:t xml:space="preserve">Каждый порт должен иметь симметричный двухпарный интерфейс 120 Ом, скорость 2048 кбит/с (2,048 Мбит/с) ±50 ppm, кодирование HDB3 или AMI и маску импульса по G.703.</w:t>
      </w:r>
    </w:p>
    <w:p>
      <w:pPr/>
      <w:r>
        <w:rPr>
          <w:b/>
        </w:rPr>
        <w:t xml:space="preserve">ТЗ-3.1.4 </w:t>
      </w:r>
      <w:r>
        <w:rPr/>
        <w:t xml:space="preserve">Трансформаторная изоляция каждого порта должна быть не менее 1500 В RMS при 50 Гц в течение 1 мин; предусмотреть супрессорную защиту от перенапряжений и ESD.</w:t>
      </w:r>
    </w:p>
    <w:p>
      <w:pPr/>
      <w:r>
        <w:rPr>
          <w:b/>
        </w:rPr>
        <w:t xml:space="preserve">ТЗ-3.1.5 </w:t>
      </w:r>
      <w:r>
        <w:rPr/>
        <w:t xml:space="preserve">Короткое замыкание, обрыв или перепутывание пар одного порта не должны влиять на другие порты и функциональный модуль.</w:t>
      </w:r>
    </w:p>
    <w:p>
      <w:pPr/>
      <w:r>
        <w:rPr>
          <w:b/>
        </w:rPr>
        <w:t xml:space="preserve">Проверка: Инспекция состава и схемных решений; измерение сопротивления интерфейса, скорости, маски импульса и трансформаторной изоляции; испытание каждого вида неисправности при работающих остальных портах. Пределы допускаемой погрешности измерений маски, изоляции и скорости не заданы — [уточнить].</w:t>
      </w:r>
    </w:p>
    <w:p>
      <w:pPr> w:pStyle w:val="Heading 2"</w:pPr>
      <w:r>
        <w:rPr/>
        <w:t xml:space="preserve">3.2 Обработка, профили передачи, тактирование и аварии</w:t>
      </w:r>
    </w:p>
    <w:p>
      <w:pPr/>
      <w:r>
        <w:rPr>
          <w:b/>
        </w:rPr>
        <w:t xml:space="preserve">ТЗ-3.2.1 </w:t>
      </w:r>
      <w:r>
        <w:rPr/>
        <w:t xml:space="preserve">Для каждого порта независимо реализовать профиль А SAToP (RFC 4553): полный неструктурированный поток с настраиваемой полезной нагрузкой и минимальной аппаратной задержкой.</w:t>
      </w:r>
    </w:p>
    <w:p>
      <w:pPr/>
      <w:r>
        <w:rPr>
          <w:b/>
        </w:rPr>
        <w:t xml:space="preserve">ТЗ-3.2.2 </w:t>
      </w:r>
      <w:r>
        <w:rPr/>
        <w:t xml:space="preserve">Для каждого порта независимо реализовать профиль Б CESoPSN (RFC 5086): N×64 кбит/с, TS1–TS31, G.704, CRC-4, CAS (TS16) и CCS.</w:t>
      </w:r>
    </w:p>
    <w:p>
      <w:pPr/>
      <w:r>
        <w:rPr>
          <w:b/>
        </w:rPr>
        <w:t xml:space="preserve">ТЗ-3.2.3 </w:t>
      </w:r>
      <w:r>
        <w:rPr/>
        <w:t xml:space="preserve">Использовать Fabric 10GbE со Strict Priority QoS, без потерь и с минимальной задержкой коммутации.</w:t>
      </w:r>
    </w:p>
    <w:p>
      <w:pPr/>
      <w:r>
        <w:rPr>
          <w:b/>
        </w:rPr>
        <w:t xml:space="preserve">ТЗ-3.2.4 </w:t>
      </w:r>
      <w:r>
        <w:rPr/>
        <w:t xml:space="preserve">Джиттер-буфер каждого канала должен иметь диапазон настройки 1–64 мс для компенсации PDV.</w:t>
      </w:r>
    </w:p>
    <w:p>
      <w:pPr/>
      <w:r>
        <w:rPr>
          <w:b/>
        </w:rPr>
        <w:t xml:space="preserve">ТЗ-3.2.5 </w:t>
      </w:r>
      <w:r>
        <w:rPr/>
        <w:t xml:space="preserve">При потере пакетов или аварии сети выдавать AIS («все единицы»), сохраняя тактирование.</w:t>
      </w:r>
    </w:p>
    <w:p>
      <w:pPr/>
      <w:r>
        <w:rPr>
          <w:b/>
        </w:rPr>
        <w:t xml:space="preserve">ТЗ-3.2.6 </w:t>
      </w:r>
      <w:r>
        <w:rPr/>
        <w:t xml:space="preserve">Предусмотреть режимы передатчика: системный TCLK, ACR от пакетной сети, Free-run/Holdover и Loop timing.</w:t>
      </w:r>
    </w:p>
    <w:p>
      <w:pPr/>
      <w:r>
        <w:rPr>
          <w:b/>
        </w:rPr>
        <w:t xml:space="preserve">ТЗ-3.2.7 </w:t>
      </w:r>
      <w:r>
        <w:rPr/>
        <w:t xml:space="preserve">Восстановленную частоту 2,048 МГц любого выбранного входного порта передавать через B2B как кандидата синхронизации шасси. Джиттер и вандер должны соответствовать G.823.</w:t>
      </w:r>
    </w:p>
    <w:p>
      <w:pPr/>
      <w:r>
        <w:rPr>
          <w:b/>
        </w:rPr>
        <w:t xml:space="preserve">ТЗ-3.2.8 </w:t>
      </w:r>
      <w:r>
        <w:rPr/>
        <w:t xml:space="preserve">Непрерывно контролировать LOS, LOF в кадровом режиме, AIS, RAI, CRC-4, нарушения HDB3 и Frame slips. Вести статистику G.826: ES, SES, UAS.</w:t>
      </w:r>
    </w:p>
    <w:p>
      <w:pPr/>
      <w:r>
        <w:rPr>
          <w:b/>
        </w:rPr>
        <w:t xml:space="preserve">ТЗ-3.2.9 </w:t>
      </w:r>
      <w:r>
        <w:rPr/>
        <w:t xml:space="preserve">Для каждого порта реализовать Local Line Loopback, Payload Loopback и Packet Loopback; предусмотреть встроенные генератор и анализатор PRBS 2^15−1 и 2^23−1 для BER-тестов.</w:t>
      </w:r>
    </w:p>
    <w:p>
      <w:pPr/>
      <w:r>
        <w:rPr>
          <w:b/>
        </w:rPr>
        <w:t xml:space="preserve">Проверка: Функциональный тест профилей, режимов тактирования, буфера 1–64 мс, AIS при потере пакетов/аварии сети, аварий и статистики; измерение джиттера/вандера по G.823 и BER на PRBS. Точные критерии «минимальной» задержки, без потерь, а также методика G.823/G.826 — [уточнить].</w:t>
      </w:r>
    </w:p>
    <w:p>
      <w:pPr> w:pStyle w:val="Heading 2"</w:pPr>
      <w:r>
        <w:rPr/>
        <w:t xml:space="preserve">3.3 Конструктивные требования</w:t>
      </w:r>
    </w:p>
    <w:p>
      <w:pPr/>
      <w:r>
        <w:rPr>
          <w:b/>
        </w:rPr>
        <w:t xml:space="preserve">ТЗ-3.3.1 </w:t>
      </w:r>
      <w:r>
        <w:rPr/>
        <w:t xml:space="preserve">Закрепить субплату на общем лонжероне-теплоотводе и лицевой панели. Разъёмы должны обеспечивать доступ к защёлкам, обзор светодиодов и вентиляцию.</w:t>
      </w:r>
    </w:p>
    <w:p>
      <w:pPr/>
      <w:r>
        <w:rPr>
          <w:b/>
        </w:rPr>
        <w:t xml:space="preserve">ТЗ-3.3.2 </w:t>
      </w:r>
      <w:r>
        <w:rPr/>
        <w:t xml:space="preserve">Конструктивное исполнение — Single Full-size AMC.0; габариты — 73,5 × 180,6 × 28,95 мм.</w:t>
      </w:r>
    </w:p>
    <w:p>
      <w:pPr/>
      <w:r>
        <w:rPr>
          <w:b/>
        </w:rPr>
        <w:t xml:space="preserve">ТЗ-3.3.3 </w:t>
      </w:r>
      <w:r>
        <w:rPr/>
        <w:t xml:space="preserve">Предусмотреть межплатное крепление на 4–6 металлических стойках М2,5.</w:t>
      </w:r>
    </w:p>
    <w:p>
      <w:pPr/>
      <w:r>
        <w:rPr>
          <w:b/>
        </w:rPr>
        <w:t xml:space="preserve">ТЗ-3.3.4 </w:t>
      </w:r>
      <w:r>
        <w:rPr/>
        <w:t xml:space="preserve">Мощность при всех активных портах: субплата — не более 12 Вт, сборка — не более 35 Вт.</w:t>
      </w:r>
    </w:p>
    <w:p>
      <w:pPr/>
      <w:r>
        <w:rPr>
          <w:b/>
        </w:rPr>
        <w:t xml:space="preserve">Проверка: Инспекция РКД, контроль габаритов и крепления, измерение мощности при всех активных портах, проверка доступа к защёлкам, обзора индикации и вентиляции.</w:t>
      </w:r>
    </w:p>
    <w:p>
      <w:pPr> w:pStyle w:val="Heading 2"</w:pPr>
      <w:r>
        <w:rPr/>
        <w:t xml:space="preserve">3.4 ЭМС, живучесть и стойкость к внешним воздействиям</w:t>
      </w:r>
    </w:p>
    <w:p>
      <w:pPr/>
      <w:r>
        <w:rPr>
          <w:b/>
        </w:rPr>
        <w:t xml:space="preserve">ТЗ-3.4.1 </w:t>
      </w:r>
      <w:r>
        <w:rPr/>
        <w:t xml:space="preserve">Стойкость изделия установить по ГОСТ РВ 20.39.304-98 для групп 1.1, 1.3, 1.4.1, исполнение «О».</w:t>
      </w:r>
    </w:p>
    <w:p>
      <w:pPr/>
      <w:r>
        <w:rPr>
          <w:b/>
        </w:rPr>
        <w:t xml:space="preserve">ТЗ-3.4.2 </w:t>
      </w:r>
      <w:r>
        <w:rPr/>
        <w:t xml:space="preserve">Рабочая температура — −10…+50 °C; предельная температура — −40…+65 °C.</w:t>
      </w:r>
    </w:p>
    <w:p>
      <w:pPr/>
      <w:r>
        <w:rPr>
          <w:b/>
        </w:rPr>
        <w:t xml:space="preserve">ТЗ-3.4.3 </w:t>
      </w:r>
      <w:r>
        <w:rPr/>
        <w:t xml:space="preserve">Синусоидальная вибрация — 5g; удары — 15g.</w:t>
      </w:r>
    </w:p>
    <w:p>
      <w:pPr/>
      <w:r>
        <w:rPr>
          <w:b/>
        </w:rPr>
        <w:t xml:space="preserve">ТЗ-3.4.4 </w:t>
      </w:r>
      <w:r>
        <w:rPr/>
        <w:t xml:space="preserve">Радиопомехи — группа 1.1.1 ГОСТ В 25803-91.</w:t>
      </w:r>
    </w:p>
    <w:p>
      <w:pPr/>
      <w:r>
        <w:rPr>
          <w:b/>
        </w:rPr>
        <w:t xml:space="preserve">ТЗ-3.4.5 </w:t>
      </w:r>
      <w:r>
        <w:rPr/>
        <w:t xml:space="preserve">Защита портов от перенапряжений и ESD должна быть реализована согласно ТЗ-3.1.4; отказ одного порта не должен распространяться на другие порты согласно ТЗ-3.1.5.</w:t>
      </w:r>
    </w:p>
    <w:p>
      <w:pPr/>
      <w:r>
        <w:rPr>
          <w:b/>
        </w:rPr>
        <w:t xml:space="preserve">Проверка: Испытания/анализ по указанным группам, температурам, вибрации, ударам и радиопомехам с контролем сохранения функций; состав воздействий и критерии подтверждения по применяемым документам должны быть уточнены в ПМИ.</w:t>
      </w:r>
    </w:p>
    <w:p>
      <w:pPr> w:pStyle w:val="Heading 2"</w:pPr>
      <w:r>
        <w:rPr/>
        <w:t xml:space="preserve">3.5 Требования надёжности</w:t>
      </w:r>
    </w:p>
    <w:p>
      <w:pPr/>
      <w:r>
        <w:rPr>
          <w:b/>
        </w:rPr>
        <w:t xml:space="preserve">ТЗ-3.5.1 </w:t>
      </w:r>
      <w:r>
        <w:rPr/>
        <w:t xml:space="preserve">Средняя наработка на отказ (MTBF) — не менее 15 000 ч.</w:t>
      </w:r>
    </w:p>
    <w:p>
      <w:pPr/>
      <w:r>
        <w:rPr>
          <w:b/>
        </w:rPr>
        <w:t xml:space="preserve">ТЗ-3.5.2 </w:t>
      </w:r>
      <w:r>
        <w:rPr/>
        <w:t xml:space="preserve">Назначенный срок службы — не менее 20 лет.</w:t>
      </w:r>
    </w:p>
    <w:p>
      <w:pPr/>
      <w:r>
        <w:rPr>
          <w:b/>
        </w:rPr>
        <w:t xml:space="preserve">Проверка: Расчётная и/или экспериментальная оценка надёжности по согласованной методике. Метод оценки, критерии отказа, количество образцов и продолжительность испытаний не заданы — [уточнить].</w:t>
      </w:r>
    </w:p>
    <w:p>
      <w:pPr> w:pStyle w:val="Heading 2"</w:pPr>
      <w:r>
        <w:rPr/>
        <w:t xml:space="preserve">3.6 Эксплуатация, хранение, обслуживание, ремонт и безопасность</w:t>
      </w:r>
    </w:p>
    <w:p>
      <w:pPr/>
      <w:r>
        <w:rPr>
          <w:b/>
        </w:rPr>
        <w:t xml:space="preserve">ТЗ-3.6.1 </w:t>
      </w:r>
      <w:r>
        <w:rPr/>
        <w:t xml:space="preserve">При эксплуатации обеспечить независимость портов при коротком замыкании, обрыве или перепутывании пар одного порта; аварийный порт должен сохранять безопасное состояние, не влияющее на другие порты и модуль.</w:t>
      </w:r>
    </w:p>
    <w:p>
      <w:pPr/>
      <w:r>
        <w:rPr>
          <w:b/>
        </w:rPr>
        <w:t xml:space="preserve">ТЗ-3.6.2 </w:t>
      </w:r>
      <w:r>
        <w:rPr/>
        <w:t xml:space="preserve">При потере пакетов или аварии сети изделие должно выдавать AIS («все единицы») и сохранять тактирование.</w:t>
      </w:r>
    </w:p>
    <w:p>
      <w:pPr/>
      <w:r>
        <w:rPr>
          <w:b/>
        </w:rPr>
        <w:t xml:space="preserve">ТЗ-3.6.3 </w:t>
      </w:r>
      <w:r>
        <w:rPr/>
        <w:t xml:space="preserve">Предусмотреть диагностику LOS/LOF/AIS/RAI, CRC-4, нарушений HDB3 и Frame slips, а также счётчики ES/SES/UAS.</w:t>
      </w:r>
    </w:p>
    <w:p>
      <w:pPr/>
      <w:r>
        <w:rPr>
          <w:b/>
        </w:rPr>
        <w:t xml:space="preserve">Проверка: Функциональная проверка отказов, аварийной индикации, AIS и сохранения тактирования; инспекция доступности диагностических средств. Порядок технического обслуживания и ремонта, состав персонала и периодичность не заданы — [уточнить].</w:t>
      </w:r>
    </w:p>
    <w:p>
      <w:pPr> w:pStyle w:val="Heading 2"</w:pPr>
      <w:r>
        <w:rPr/>
        <w:t xml:space="preserve">3.7 Стандартизация, унификация и технологичность</w:t>
      </w:r>
    </w:p>
    <w:p>
      <w:pPr/>
      <w:r>
        <w:rPr>
          <w:b/>
        </w:rPr>
        <w:t xml:space="preserve">ТЗ-3.7.1 </w:t>
      </w:r>
      <w:r>
        <w:rPr/>
        <w:t xml:space="preserve">Конструктивное исполнение должно соответствовать Single Full-size AMC.0 с заданными габаритами и креплением; интерфейс E1 — 120 Ом, RJ-48C (8P8C), с параметрами ТЗ-3.1.3.</w:t>
      </w:r>
    </w:p>
    <w:p>
      <w:pPr/>
      <w:r>
        <w:rPr>
          <w:b/>
        </w:rPr>
        <w:t xml:space="preserve">ТЗ-3.7.2 </w:t>
      </w:r>
      <w:r>
        <w:rPr/>
        <w:t xml:space="preserve">Board ID EEPROM должна обеспечивать идентификацию субплаты, автоматическую активацию функционального модуля и выбор bitstream E1 из Flash по Board ID.</w:t>
      </w:r>
    </w:p>
    <w:p>
      <w:pPr/>
      <w:r>
        <w:rPr>
          <w:b/>
        </w:rPr>
        <w:t xml:space="preserve">ТЗ-3.7.3 </w:t>
      </w:r>
      <w:r>
        <w:rPr/>
        <w:t xml:space="preserve">При разработке предусмотреть приоритет отечественных материалов и комплектующих с приёмкой ОТК; импортную ЭКБ применять при отсутствии аналогов согласно разделу 6.</w:t>
      </w:r>
    </w:p>
    <w:p>
      <w:pPr/>
      <w:r>
        <w:rPr>
          <w:b/>
        </w:rPr>
        <w:t xml:space="preserve">Проверка: Инспекция РКД, спецификаций, идентификации платы и применённых комплектующих.</w:t>
      </w:r>
    </w:p>
    <w:p>
      <w:pPr> w:pStyle w:val="Heading 1"</w:pPr>
      <w:r>
        <w:rPr/>
        <w:t xml:space="preserve">4 Технико-экономические требования</w:t>
      </w:r>
    </w:p>
    <w:p>
      <w:pPr/>
      <w:r>
        <w:rPr>
          <w:b/>
        </w:rPr>
        <w:t xml:space="preserve">ТЗ-4.1 </w:t>
      </w:r>
      <w:r>
        <w:rPr/>
        <w:t xml:space="preserve">Технико-экономические требования к изделию не предъявляются.</w:t>
      </w:r>
    </w:p>
    <w:p>
      <w:pPr/>
      <w:r>
        <w:rPr>
          <w:b/>
        </w:rPr>
        <w:t xml:space="preserve">Проверка: Инспекция ТЗ: отсутствие дополнительных технико-экономических показателей.</w:t>
      </w:r>
    </w:p>
    <w:p>
      <w:pPr> w:pStyle w:val="Heading 1"</w:pPr>
      <w:r>
        <w:rPr/>
        <w:t xml:space="preserve">5 Требования к видам обеспечения</w:t>
      </w:r>
    </w:p>
    <w:p>
      <w:pPr> w:pStyle w:val="Heading 2"</w:pPr>
      <w:r>
        <w:rPr/>
        <w:t xml:space="preserve">5.1 Нормативное обеспечение</w:t>
      </w:r>
    </w:p>
    <w:p>
      <w:pPr/>
      <w:r>
        <w:rPr>
          <w:b/>
        </w:rPr>
        <w:t xml:space="preserve">ТЗ-5.1.1 </w:t>
      </w:r>
      <w:r>
        <w:rPr/>
        <w:t xml:space="preserve">При разработке, изготовлении и испытаниях применять документы, перечисленные в перечне нормативных и справочных документов настоящего ТЗ, в применимой части.</w:t>
      </w:r>
    </w:p>
    <w:p>
      <w:pPr> w:pStyle w:val="Heading 2"</w:pPr>
      <w:r>
        <w:rPr/>
        <w:t xml:space="preserve">5.2 Метрологическое обеспечение</w:t>
      </w:r>
    </w:p>
    <w:p>
      <w:pPr/>
      <w:r>
        <w:rPr>
          <w:b/>
        </w:rPr>
        <w:t xml:space="preserve">ТЗ-5.2.1 </w:t>
      </w:r>
      <w:r>
        <w:rPr/>
        <w:t xml:space="preserve">Предусмотреть средства и методики измерения маски импульса E1, джиттера/вандера, BER и задержки пакетизации.</w:t>
      </w:r>
    </w:p>
    <w:p>
      <w:pPr/>
      <w:r>
        <w:rPr>
          <w:b/>
        </w:rPr>
        <w:t xml:space="preserve">ТЗ-5.2.2 </w:t>
      </w:r>
      <w:r>
        <w:rPr/>
        <w:t xml:space="preserve">Допуски, пределы погрешности, состав средств и методики измерений, не заданные исходными требованиями, определить при разработке ПМИ и согласовании; [уточнить].</w:t>
      </w:r>
    </w:p>
    <w:p>
      <w:pPr/>
      <w:r>
        <w:rPr>
          <w:b/>
        </w:rPr>
        <w:t xml:space="preserve">Проверка: Инспекция состава средств и методик; измерения параметров по ТЗ-3.1.3, ТЗ-3.2.7 и ТЗ-3.2.9. Параметры точности и достоверности измерений блокируют окончательный метод.</w:t>
      </w:r>
    </w:p>
    <w:p>
      <w:pPr> w:pStyle w:val="Heading 2"</w:pPr>
      <w:r>
        <w:rPr/>
        <w:t xml:space="preserve">5.3 Диагностическое обеспечение</w:t>
      </w:r>
    </w:p>
    <w:p>
      <w:pPr/>
      <w:r>
        <w:rPr>
          <w:b/>
        </w:rPr>
        <w:t xml:space="preserve">ТЗ-5.3.1 </w:t>
      </w:r>
      <w:r>
        <w:rPr/>
        <w:t xml:space="preserve">Обеспечить регистрацию LOS/LOF/AIS/RAI и счётчиков ошибок, формирование сообщений и отчётов для РМО.</w:t>
      </w:r>
    </w:p>
    <w:p>
      <w:pPr/>
      <w:r>
        <w:rPr>
          <w:b/>
        </w:rPr>
        <w:t xml:space="preserve">Проверка: Функциональное испытание регистрации событий, счётчиков, сообщений и отчётов для РМО.</w:t>
      </w:r>
    </w:p>
    <w:p>
      <w:pPr> w:pStyle w:val="Heading 2"</w:pPr>
      <w:r>
        <w:rPr/>
        <w:t xml:space="preserve">5.4 Программное обеспечение</w:t>
      </w:r>
    </w:p>
    <w:p>
      <w:pPr/>
      <w:r>
        <w:rPr>
          <w:b/>
        </w:rPr>
        <w:t xml:space="preserve">ТЗ-5.4.1 </w:t>
      </w:r>
      <w:r>
        <w:rPr/>
        <w:t xml:space="preserve">Разработать bitstream функционального модуля для Flash базовой платы, драйверы Linux и MIB для РМО / SNMP.</w:t>
      </w:r>
    </w:p>
    <w:p>
      <w:pPr/>
      <w:r>
        <w:rPr>
          <w:b/>
        </w:rPr>
        <w:t xml:space="preserve">Проверка: Инспекция поставляемых программных компонентов, загрузка bitstream из Flash, функциональная проверка драйверов Linux и MIB для РМО / SNMP. Версии и состав интерфейсов не заданы — [уточнить].</w:t>
      </w:r>
    </w:p>
    <w:p>
      <w:pPr> w:pStyle w:val="Heading 1"</w:pPr>
      <w:r>
        <w:rPr/>
        <w:t xml:space="preserve">6 Требования к сырью, материалам и комплектующим изделиям</w:t>
      </w:r>
    </w:p>
    <w:p>
      <w:pPr/>
      <w:r>
        <w:rPr>
          <w:b/>
        </w:rPr>
        <w:t xml:space="preserve">ТЗ-6.1 </w:t>
      </w:r>
      <w:r>
        <w:rPr/>
        <w:t xml:space="preserve">Предусмотреть приоритет отечественных материалов и комплектующих с приёмкой ОТК.</w:t>
      </w:r>
    </w:p>
    <w:p>
      <w:pPr/>
      <w:r>
        <w:rPr>
          <w:b/>
        </w:rPr>
        <w:t xml:space="preserve">ТЗ-6.2 </w:t>
      </w:r>
      <w:r>
        <w:rPr/>
        <w:t xml:space="preserve">При отсутствии отечественных аналогов разрешить импортную ЭКБ промышленного температурного диапазона.</w:t>
      </w:r>
    </w:p>
    <w:p>
      <w:pPr/>
      <w:r>
        <w:rPr>
          <w:b/>
        </w:rPr>
        <w:t xml:space="preserve">Проверка: Инспекция ведомости покупных изделий, подтверждения происхождения/аналогов и документов приёмки ОТК; контроль температурного диапазона импортной ЭКБ.</w:t>
      </w:r>
    </w:p>
    <w:p>
      <w:pPr> w:pStyle w:val="Heading 1"</w:pPr>
      <w:r>
        <w:rPr/>
        <w:t xml:space="preserve">7 Требования к консервации, упаковке и маркировке</w:t>
      </w:r>
    </w:p>
    <w:p>
      <w:pPr/>
      <w:r>
        <w:rPr>
          <w:b/>
        </w:rPr>
        <w:t xml:space="preserve">ТЗ-7.1 </w:t>
      </w:r>
      <w:r>
        <w:rPr/>
        <w:t xml:space="preserve">На изделии предусмотреть децимальный и серийный номера, ревизию и маркировку E1-1…E1-8.</w:t>
      </w:r>
    </w:p>
    <w:p>
      <w:pPr/>
      <w:r>
        <w:rPr>
          <w:b/>
        </w:rPr>
        <w:t xml:space="preserve">ТЗ-7.2 </w:t>
      </w:r>
      <w:r>
        <w:rPr/>
        <w:t xml:space="preserve">Предусмотреть индивидуальную тару с ESD-защитой.</w:t>
      </w:r>
    </w:p>
    <w:p>
      <w:pPr/>
      <w:r>
        <w:rPr>
          <w:b/>
        </w:rPr>
        <w:t xml:space="preserve">ТЗ-7.3 </w:t>
      </w:r>
      <w:r>
        <w:rPr/>
        <w:t xml:space="preserve">Хранение в заводской таре — не менее 1 года по ГОСТ 15150.</w:t>
      </w:r>
    </w:p>
    <w:p>
      <w:pPr/>
      <w:r>
        <w:rPr>
          <w:b/>
        </w:rPr>
        <w:t xml:space="preserve">ТЗ-7.4 </w:t>
      </w:r>
      <w:r>
        <w:rPr/>
        <w:t xml:space="preserve">Условия консервации, не заданные исходными требованиями, не дополнять; [уточнить при необходимости].</w:t>
      </w:r>
    </w:p>
    <w:p>
      <w:pPr/>
      <w:r>
        <w:rPr>
          <w:b/>
        </w:rPr>
        <w:t xml:space="preserve">Проверка: Инспекция маркировки изделия и тары, ESD-защиты и документов на хранение; проверка срока хранения по ГОСТ 15150.</w:t>
      </w:r>
    </w:p>
    <w:p>
      <w:pPr> w:pStyle w:val="Heading 1"</w:pPr>
      <w:r>
        <w:rPr/>
        <w:t xml:space="preserve">8 Специальные требования</w:t>
      </w:r>
    </w:p>
    <w:p>
      <w:pPr/>
      <w:r>
        <w:rPr>
          <w:b/>
        </w:rPr>
        <w:t xml:space="preserve">ТЗ-8.1 </w:t>
      </w:r>
      <w:r>
        <w:rPr/>
        <w:t xml:space="preserve">Телеметрия РМО (C++/Qt) должна обеспечивать мнемосхему 8 портов, отображение LOS/LOF/AIS/RAI, счётчиков G.826, профилей SAToP/CESoPSN и источника тактирования.</w:t>
      </w:r>
    </w:p>
    <w:p>
      <w:pPr/>
      <w:r>
        <w:rPr>
          <w:b/>
        </w:rPr>
        <w:t xml:space="preserve">ТЗ-8.2 </w:t>
      </w:r>
      <w:r>
        <w:rPr/>
        <w:t xml:space="preserve">РМО должно поддерживать команды включения и отключения портов, изменения джиттер-буфера, диагностических петель и PRBS.</w:t>
      </w:r>
    </w:p>
    <w:p>
      <w:pPr/>
      <w:r>
        <w:rPr>
          <w:b/>
        </w:rPr>
        <w:t xml:space="preserve">Проверка: Функциональная проверка мнемосхемы, телеметрии, команд, диагностических петель и PRBS на всех восьми портах; проверка отображения аварий, статистики, профиля и источника тактирования. Формат сообщений, права доступа и детальные критерии не заданы — [уточнить].</w:t>
      </w:r>
    </w:p>
    <w:p>
      <w:pPr/>
      <w:r>
        <w:br w:type="page"/>
      </w:r>
    </w:p>
    <w:p>
      <w:pPr> w:jc="center"</w:pPr>
      <w:r>
        <w:rPr>
          <w:b/>
        </w:rPr>
        <w:t xml:space="preserve">ПОДПИСИ РАЗРАБОТЧИКОВ ТЗ И СОГЛАСУЮЩИЕ ПОДПИСИ</w:t>
      </w:r>
    </w:p>
    <w:tbl>
      <w:tblPr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r>
              <w:t xml:space="preserve">Роль / организация</w:t>
            </w:r>
          </w:p>
        </w:tc>
        <w:tc>
          <w:p>
            <w:r>
              <w:t xml:space="preserve">Должность</w:t>
            </w:r>
          </w:p>
        </w:tc>
        <w:tc>
          <w:p>
            <w:r>
              <w:t xml:space="preserve">Подпись</w:t>
            </w:r>
          </w:p>
        </w:tc>
        <w:tc>
          <w:p>
            <w:r>
              <w:t xml:space="preserve">Инициалы, фамилия</w:t>
            </w:r>
          </w:p>
        </w:tc>
        <w:tc>
          <w:p>
            <w:r>
              <w:t xml:space="preserve">Дата</w:t>
            </w:r>
          </w:p>
        </w:tc>
      </w:tr>
      <w:tr>
        <w:tc>
          <w:p>
            <w:r>
              <w:t xml:space="preserve">Разработчик ТЗ — ООО «тушканчик»</w:t>
            </w:r>
          </w:p>
        </w:tc>
        <w:tc>
          <w:p>
            <w:r>
              <w:t xml:space="preserve">[уточнить]</w:t>
            </w:r>
          </w:p>
        </w:tc>
        <w:tc>
          <w:p>
            <w:r>
              <w:t xml:space="preserve">[уточнить]</w:t>
            </w:r>
          </w:p>
        </w:tc>
        <w:tc>
          <w:p>
            <w:r>
              <w:t xml:space="preserve">[уточнить]</w:t>
            </w:r>
          </w:p>
        </w:tc>
        <w:tc>
          <w:p>
            <w:r>
              <w:t xml:space="preserve">[уточнить]</w:t>
            </w:r>
          </w:p>
        </w:tc>
      </w:tr>
      <w:tr>
        <w:tc>
          <w:p>
            <w:r>
              <w:t xml:space="preserve">Исполнитель СЧ ОКР</w:t>
            </w:r>
          </w:p>
        </w:tc>
        <w:tc>
          <w:p>
            <w:r>
              <w:t xml:space="preserve">[уточнить]</w:t>
            </w:r>
          </w:p>
        </w:tc>
        <w:tc>
          <w:p>
            <w:r>
              <w:t xml:space="preserve">[уточнить]</w:t>
            </w:r>
          </w:p>
        </w:tc>
        <w:tc>
          <w:p>
            <w:r>
              <w:t xml:space="preserve">[уточнить]</w:t>
            </w:r>
          </w:p>
        </w:tc>
        <w:tc>
          <w:p>
            <w:r>
              <w:t xml:space="preserve">[уточнить]</w:t>
            </w:r>
          </w:p>
        </w:tc>
      </w:tr>
      <w:tr>
        <w:tc>
          <w:p>
            <w:r>
              <w:t xml:space="preserve">Головной исполнитель ОКР</w:t>
            </w:r>
          </w:p>
        </w:tc>
        <w:tc>
          <w:p>
            <w:r>
              <w:t xml:space="preserve">[уточнить]</w:t>
            </w:r>
          </w:p>
        </w:tc>
        <w:tc>
          <w:p>
            <w:r>
              <w:t xml:space="preserve">[уточнить]</w:t>
            </w:r>
          </w:p>
        </w:tc>
        <w:tc>
          <w:p>
            <w:r>
              <w:t xml:space="preserve">[уточнить]</w:t>
            </w:r>
          </w:p>
        </w:tc>
        <w:tc>
          <w:p>
            <w:r>
              <w:t xml:space="preserve">[уточнить]</w:t>
            </w:r>
          </w:p>
        </w:tc>
      </w:tr>
      <w:tr>
        <w:tc>
          <w:p>
            <w:r>
              <w:t xml:space="preserve">Заказчик</w:t>
            </w:r>
          </w:p>
        </w:tc>
        <w:tc>
          <w:p>
            <w:r>
              <w:t xml:space="preserve">[уточнить]</w:t>
            </w:r>
          </w:p>
        </w:tc>
        <w:tc>
          <w:p>
            <w:r>
              <w:t xml:space="preserve">[уточнить]</w:t>
            </w:r>
          </w:p>
        </w:tc>
        <w:tc>
          <w:p>
            <w:r>
              <w:t xml:space="preserve">[уточнить]</w:t>
            </w:r>
          </w:p>
        </w:tc>
        <w:tc>
          <w:p>
            <w:r>
              <w:t xml:space="preserve">[уточнить]</w:t>
            </w:r>
          </w:p>
        </w:tc>
      </w:tr>
    </w:tbl>
    <w:p>
      <w:pPr/>
      <w:r>
        <w:rPr>
          <w:b/>
          <w:i/>
        </w:rPr>
        <w:t xml:space="preserve">Примечание: Для ТЗ на составную часть согласование и утверждение выполняются в порядке, установленном ГОСТ 15.016—2016 для составной части ОКР. Конкретные реквизиты не заданы.</w:t>
      </w:r>
    </w:p>
    <w:sectPr>
      <w:pgSz w:w="11906" w:h="16838"/>
      <w:pgMar w:top="1134" w:right="850" w:bottom="1134" w:left="1418"/>
    </w:sectPr>
  </w:body>
</w:document>
</file>