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100"/>
        <w:gridCol w:w="3100"/>
        <w:gridCol w:w="3100"/>
      </w:tblGrid>
      <w:tr>
        <w:tc>
          <w:tcPr>
            <w:tcW w:w="31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СОГЛАСОВАНО</w:t>
            </w:r>
          </w:p>
          <w:p>
            <w:pPr>
              <w:jc w:val="center"/>
              <w:spacing w:before="0" w:after="80"/>
            </w:pPr>
            <w:r>
              <w:rPr/>
              <w:t xml:space="preserve">должность, заказчик (НИО заказчика):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  <w:tc>
          <w:tcPr>
            <w:tcW w:w="31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СОГЛАСОВАНО</w:t>
            </w:r>
          </w:p>
          <w:p>
            <w:pPr>
              <w:jc w:val="center"/>
              <w:spacing w:before="0" w:after="80"/>
            </w:pPr>
            <w:r>
              <w:rPr/>
              <w:t xml:space="preserve">должность, исполнитель составной части ОКР: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  <w:tc>
          <w:tcPr>
            <w:tcW w:w="31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УТВЕРЖДАЮ</w:t>
            </w:r>
          </w:p>
          <w:p>
            <w:pPr>
              <w:jc w:val="center"/>
              <w:spacing w:before="0" w:after="80"/>
            </w:pPr>
            <w:r>
              <w:rPr/>
              <w:t xml:space="preserve">должность, головной исполнитель ОКР: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</w:tr>
    </w:tbl>
    <w:p>
      <w:pPr>
        <w:spacing w:before="0" w:after="500"/>
      </w:pPr>
      <w:r>
        <w:rPr/>
        <w:t xml:space="preserve"/>
      </w:r>
    </w:p>
    <w:p>
      <w:pPr>
        <w:jc w:val="center"/>
        <w:spacing w:before="0" w:after="160"/>
      </w:pPr>
      <w:r>
        <w:rPr>
          <w:b/>
          <w:sz w:val="32"/>
          <w:szCs w:val="32"/>
        </w:rPr>
        <w:t xml:space="preserve">ТЕХНИЧЕСКОЕ ЗАДАНИЕ</w:t>
      </w:r>
    </w:p>
    <w:p>
      <w:pPr>
        <w:jc w:val="center"/>
        <w:spacing w:before="0" w:after="260"/>
      </w:pPr>
      <w:r>
        <w:rPr>
          <w:b/>
          <w:sz w:val="24"/>
          <w:szCs w:val="24"/>
        </w:rPr>
        <w:t xml:space="preserve">НА СОСТАВНУЮ ЧАСТЬ ОПЫТНО-КОНСТРУКТОРСКОЙ РАБОТЫ</w:t>
      </w:r>
    </w:p>
    <w:p>
      <w:pPr>
        <w:jc w:val="center"/>
        <w:spacing w:before="0" w:after="260"/>
      </w:pPr>
      <w:r>
        <w:rPr>
          <w:b/>
          <w:sz w:val="24"/>
          <w:szCs w:val="24"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jc w:val="center"/>
        <w:spacing w:before="0" w:after="180"/>
      </w:pPr>
      <w:r>
        <w:rPr>
          <w:sz w:val="24"/>
          <w:szCs w:val="24"/>
        </w:rPr>
        <w:t xml:space="preserve">Шифр ОКР «Развитие-ТСА»</w:t>
      </w:r>
    </w:p>
    <w:p>
      <w:pPr>
        <w:jc w:val="center"/>
        <w:spacing w:before="0" w:after="650"/>
      </w:pPr>
      <w:r>
        <w:rPr>
          <w:sz w:val="22"/>
          <w:szCs w:val="22"/>
        </w:rPr>
        <w:t xml:space="preserve">Обозначение составной части изделия: [уточнить]</w:t>
      </w:r>
    </w:p>
    <w:p>
      <w:pPr>
        <w:jc w:val="center"/>
        <w:spacing w:before="0" w:after="80"/>
      </w:pPr>
      <w:r>
        <w:rPr>
          <w:sz w:val="20"/>
          <w:szCs w:val="20"/>
        </w:rPr>
        <w:t xml:space="preserve">Регистрационный номер: [уточнить]</w:t>
      </w:r>
    </w:p>
    <w:p>
      <w:pPr>
        <w:jc w:val="center"/>
        <w:spacing w:before="0" w:after="80"/>
      </w:pPr>
      <w:r>
        <w:rPr>
          <w:sz w:val="20"/>
          <w:szCs w:val="20"/>
        </w:rPr>
        <w:t xml:space="preserve">Действует с дополнением: —</w:t>
      </w:r>
    </w:p>
    <w:p>
      <w:pPr>
        <w:jc w:val="center"/>
        <w:spacing w:before="900" w:after="80"/>
      </w:pPr>
      <w:r>
        <w:rPr>
          <w:sz w:val="20"/>
          <w:szCs w:val="20"/>
        </w:rPr>
        <w:t xml:space="preserve">[уточнить: место выпуска документа]</w:t>
      </w:r>
    </w:p>
    <w:p>
      <w:pPr>
        <w:jc w:val="center"/>
        <w:spacing w:before="0" w:after="80"/>
      </w:pPr>
      <w:r>
        <w:rPr>
          <w:sz w:val="20"/>
          <w:szCs w:val="20"/>
        </w:rPr>
        <w:t xml:space="preserve">[уточнить: год]</w:t>
      </w:r>
    </w:p>
    <w:p>
      <w:pPr>
        <w:pStyle w:val="Title"/>
        <w:spacing w:before="0" w:after="80"/>
        <w:pageBreakBefore/>
      </w:pPr>
      <w:r>
        <w:rPr/>
        <w:t xml:space="preserve">ЛИСТ СОГЛАСОВАНИЯ</w:t>
      </w:r>
    </w:p>
    <w:p>
      <w:pPr>
        <w:jc w:val="center"/>
        <w:spacing w:before="0" w:after="240"/>
      </w:pPr>
      <w:r>
        <w:rPr/>
        <w:t xml:space="preserve">к техническому заданию на составную часть ОКР «Развитие-ТСА»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600"/>
        <w:gridCol w:w="1800"/>
        <w:gridCol w:w="1800"/>
        <w:gridCol w:w="1400"/>
        <w:gridCol w:w="1400"/>
      </w:tblGrid>
      <w:tr>
        <w:tc>
          <w:tcPr>
            <w:tcW w:w="26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Организация, подразделение</w:t>
            </w:r>
          </w:p>
        </w:tc>
        <w:tc>
          <w:tcPr>
            <w:tcW w:w="18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18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ФИО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Подпись</w:t>
            </w:r>
          </w:p>
        </w:tc>
        <w:tc>
          <w:tcPr>
            <w:tcW w:w="140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[уточнить: заказчик или НИО заказчика]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/>
            </w:pPr>
            <w:r>
              <w:rPr/>
              <w:t xml:space="preserve">ООО «тушканчик»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</w:tr>
      <w:tr>
        <w:tc>
          <w:tcPr>
            <w:tcW w:w="26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[уточнить: головной исполнитель ОКР]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/>
              <w:t xml:space="preserve">[уточнить]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  <w:tc>
          <w:tcPr>
            <w:tcW w:w="1400" w:type="dxa"/>
            <w:vAlign w:val="top"/>
          </w:tcPr>
          <w:p>
            <w:pPr>
              <w:spacing w:before="0" w:after="80"/>
            </w:pPr>
            <w:r>
              <w:rPr/>
              <w:t xml:space="preserve">—</w:t>
            </w:r>
          </w:p>
        </w:tc>
      </w:tr>
    </w:tbl>
    <w:p>
      <w:pPr>
        <w:pStyle w:val="Title"/>
        <w:spacing w:before="0" w:after="80"/>
        <w:pageBreakBefore/>
      </w:pPr>
      <w:r>
        <w:rPr/>
        <w:t xml:space="preserve">ПЕРЕЧЕНЬ ОБОЗНАЧЕНИЙ И СОКРАЩЕНИЙ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800"/>
        <w:gridCol w:w="7500"/>
      </w:tblGrid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ACR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Adaptive Clock Recovery; восстановление тактовой частоты по пакетной сети.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AIS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Alarm Indication Signal; сигнал индикации аварии («все единицы»).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AMC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Advanced Mezzanine Card; формат модуля по PICMG AMC.0 R2.0.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AMI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Alternate Mark Inversion; линейное кодирование E1.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АСУ ТП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автоматизированная система управления технологическим процессом.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B2B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Board-to-Board; межплатный интерфейс субплаты и базовой платы.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BER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Bit Error Rate; коэффициент битовых ошибок.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Board ID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идентификатор субплаты, хранящийся в EEPROM и используемый базовой платой для выбора bitstream E1 из Flash.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CAS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Channel Associated Signaling; сигнализация по TS16.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CCS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Common Channel Signaling; общеканальная сигнализация.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CESoPSN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Circuit Emulation Service over Packet Switched Network; профиль по RFC 5086.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CRC-4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циклический контроль по четырём битам в цикловой структуре E1.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EEPROM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электрически стираемое программируемое постоянное запоминающее устройство.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ES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Errored Second; секунда с ошибками по G.826.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ESD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Electrostatic Discharge; электростатический разряд.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HDB3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High Density Bipolar of order 3; линейное кодирование E1.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LIU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Line Interface Unit; линейный интерфейсный модуль.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LOF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Loss of Frame; потеря цикловой синхронизации.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LOS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Loss of Signal; потеря сигнала.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MIB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Management Information Base; база управляющей информации для SNMP.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MMC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Module Management Controller; контроллер управления модулем AMC.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MTBF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Mean Time Between Failures; средняя наработка между отказами.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ОКР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ОТК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отдел технического контроля.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PDV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Packet Delay Variation; вариация задержки пакетов.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PDH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плезиохронная цифровая иерархия.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ПЛИС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программируемая логическая интегральная схема.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ПМИ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программа и методики испытаний.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PRBS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Pseudo-Random Binary Sequence; псевдослучайная двоичная последовательность.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RAI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Remote Alarm Indication; индикация удалённой аварии.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РКД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РМО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рабочее место оператора.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SAToP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Structure-Agnostic TDM over Packet; профиль по RFC 4553.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SDH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синхронная цифровая иерархия.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SES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Severely Errored Second; секунда, поражённая ошибками, по G.826.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SNMP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Simple Network Management Protocol.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TCLK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системный тактовый сигнал передатчика.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TDM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Time Division Multiplexing; временное разделение каналов.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TS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Time Slot; канальный интервал.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UAS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Unavailable Second; секунда неготовности по G.826.</w:t>
            </w:r>
          </w:p>
        </w:tc>
      </w:tr>
      <w:tr>
        <w:tc>
          <w:tcPr>
            <w:tcW w:w="1800" w:type="dxa"/>
            <w:vAlign w:val="top"/>
          </w:tcPr>
          <w:p>
            <w:pPr>
              <w:spacing w:before="0" w:after="80"/>
            </w:pPr>
            <w:r>
              <w:rPr>
                <w:b/>
              </w:rPr>
              <w:t xml:space="preserve">ЭКБ</w:t>
            </w:r>
          </w:p>
        </w:tc>
        <w:tc>
          <w:tcPr>
            <w:tcW w:w="7500" w:type="dxa"/>
            <w:vAlign w:val="top"/>
          </w:tcPr>
          <w:p>
            <w:pPr>
              <w:spacing w:before="0" w:after="80"/>
            </w:pPr>
            <w:r>
              <w:rPr/>
              <w:t xml:space="preserve">электронная компонентная база.</w:t>
            </w:r>
          </w:p>
        </w:tc>
      </w:tr>
    </w:tbl>
    <w:p>
      <w:pPr>
        <w:pStyle w:val="Title"/>
        <w:spacing w:before="0" w:after="80"/>
        <w:pageBreakBefore/>
      </w:pPr>
      <w:r>
        <w:rPr/>
        <w:t xml:space="preserve">ПЕРЕЧЕНЬ ПРИМЕНИМЫХ НОРМАТИВНЫХ И СПРАВОЧНЫХ ДОКУМЕНТОВ</w:t>
      </w:r>
    </w:p>
    <w:p>
      <w:pPr>
        <w:spacing w:before="0" w:after="80"/>
      </w:pPr>
      <w:r>
        <w:rPr/>
        <w:t xml:space="preserve">ГОСТ 15.016—2016 «Система разработки и постановки продукции на производство. Техническое задание. Требования к содержанию и оформлению»;</w:t>
      </w:r>
    </w:p>
    <w:p>
      <w:pPr>
        <w:spacing w:before="0" w:after="80"/>
      </w:pPr>
      <w:r>
        <w:rPr/>
        <w:t xml:space="preserve">ГОСТ 2.114-2016;</w:t>
      </w:r>
    </w:p>
    <w:p>
      <w:pPr>
        <w:spacing w:before="0" w:after="80"/>
      </w:pPr>
      <w:r>
        <w:rPr/>
        <w:t xml:space="preserve">ГОСТ РВ 15.201-2003;</w:t>
      </w:r>
    </w:p>
    <w:p>
      <w:pPr>
        <w:spacing w:before="0" w:after="80"/>
      </w:pPr>
      <w:r>
        <w:rPr/>
        <w:t xml:space="preserve">ГОСТ РВ 20.39.304-98;</w:t>
      </w:r>
    </w:p>
    <w:p>
      <w:pPr>
        <w:spacing w:before="0" w:after="80"/>
      </w:pPr>
      <w:r>
        <w:rPr/>
        <w:t xml:space="preserve">ГОСТ В 25803-91;</w:t>
      </w:r>
    </w:p>
    <w:p>
      <w:pPr>
        <w:spacing w:before="0" w:after="80"/>
      </w:pPr>
      <w:r>
        <w:rPr/>
        <w:t xml:space="preserve">ГОСТ 15150;</w:t>
      </w:r>
    </w:p>
    <w:p>
      <w:pPr>
        <w:spacing w:before="0" w:after="80"/>
      </w:pPr>
      <w:r>
        <w:rPr/>
        <w:t xml:space="preserve">ITU-T G.703;</w:t>
      </w:r>
    </w:p>
    <w:p>
      <w:pPr>
        <w:spacing w:before="0" w:after="80"/>
      </w:pPr>
      <w:r>
        <w:rPr/>
        <w:t xml:space="preserve">ITU-T G.704;</w:t>
      </w:r>
    </w:p>
    <w:p>
      <w:pPr>
        <w:spacing w:before="0" w:after="80"/>
      </w:pPr>
      <w:r>
        <w:rPr/>
        <w:t xml:space="preserve">ITU-T G.823;</w:t>
      </w:r>
    </w:p>
    <w:p>
      <w:pPr>
        <w:spacing w:before="0" w:after="80"/>
      </w:pPr>
      <w:r>
        <w:rPr/>
        <w:t xml:space="preserve">ITU-T G.826;</w:t>
      </w:r>
    </w:p>
    <w:p>
      <w:pPr>
        <w:spacing w:before="0" w:after="80"/>
      </w:pPr>
      <w:r>
        <w:rPr/>
        <w:t xml:space="preserve">RFC 4553 (SAToP);</w:t>
      </w:r>
    </w:p>
    <w:p>
      <w:pPr>
        <w:spacing w:before="0" w:after="80"/>
      </w:pPr>
      <w:r>
        <w:rPr/>
        <w:t xml:space="preserve">RFC 5086 (CESoPSN);</w:t>
      </w:r>
    </w:p>
    <w:p>
      <w:pPr>
        <w:spacing w:before="0" w:after="80"/>
      </w:pPr>
      <w:r>
        <w:rPr/>
        <w:t xml:space="preserve">PICMG AMC.0 R2.0.</w:t>
      </w:r>
    </w:p>
    <w:p>
      <w:pPr>
        <w:spacing w:before="120" w:after="80"/>
      </w:pPr>
      <w:r>
        <w:rPr>
          <w:i/>
        </w:rPr>
        <w:t xml:space="preserve">Примечание — Наименования и редакции документов, кроме ГОСТ 15.016—2016, в исходных данных не приведены. При применении необходимо использовать обозначения и редакции, установленные заказчиком; соответствующее решение — [уточнить].</w:t>
      </w:r>
    </w:p>
    <w:p>
      <w:pPr>
        <w:pStyle w:val="Heading1"/>
        <w:spacing w:before="0" w:after="80"/>
        <w:keepNext/>
        <w:pageBreakBefore/>
      </w:pPr>
      <w:r>
        <w:rPr/>
        <w:t xml:space="preserve">1 Наименование, шифр ОКР, основание, исполнители и сроки выполнения ОКР</w:t>
      </w:r>
    </w:p>
    <w:p>
      <w:pPr>
        <w:pStyle w:val="Req"/>
        <w:spacing w:before="0" w:after="80"/>
      </w:pPr>
      <w:r>
        <w:rPr/>
        <w:t xml:space="preserve">1.1 Наименование работы: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pStyle w:val="Req"/>
        <w:spacing w:before="0" w:after="80"/>
      </w:pPr>
      <w:r>
        <w:rPr/>
        <w:t xml:space="preserve">1.2 Шифр ОКР — «Развитие-ТСА».</w:t>
      </w:r>
    </w:p>
    <w:p>
      <w:pPr>
        <w:pStyle w:val="Req"/>
        <w:spacing w:before="0" w:after="80"/>
      </w:pPr>
      <w:r>
        <w:rPr/>
        <w:t xml:space="preserve">1.3 Основание для выполнения работы — приказ об открытии инициативной ОКР № [уточнить: номер приказа] от [уточнить: дата приказа].</w:t>
      </w:r>
    </w:p>
    <w:p>
      <w:pPr>
        <w:pStyle w:val="Req"/>
        <w:spacing w:before="0" w:after="80"/>
      </w:pPr>
      <w:r>
        <w:rPr/>
        <w:t xml:space="preserve">1.4 Исполнитель составной части ОКР — ООО «тушканчик».</w:t>
      </w:r>
    </w:p>
    <w:p>
      <w:pPr>
        <w:pStyle w:val="Req"/>
        <w:spacing w:before="0" w:after="80"/>
      </w:pPr>
      <w:r>
        <w:rPr/>
        <w:t xml:space="preserve">1.5 Сроки разработки РКД, программной документации, изготовления образцов и проведения испытаний должны соответствовать утверждённому плану-графику. Номер, дата утверждения и календарные сроки плана-графика — [уточнить: головной исполнитель ОКР].</w:t>
      </w:r>
    </w:p>
    <w:p>
      <w:pPr>
        <w:pStyle w:val="Check"/>
        <w:spacing w:before="0" w:after="80"/>
      </w:pPr>
      <w:r>
        <w:rPr/>
        <w:t xml:space="preserve">Проверка: анализ утверждённого плана-графика и сопоставление установленных в нём сроков с фактическими датами выполнения работ; до получения плана-графика проверка заблокирована.</w:t>
      </w:r>
    </w:p>
    <w:p>
      <w:pPr>
        <w:pStyle w:val="Heading1"/>
        <w:spacing w:before="0" w:after="80"/>
        <w:keepNext/>
        <w:pageBreakBefore/>
      </w:pPr>
      <w:r>
        <w:rPr/>
        <w:t xml:space="preserve">2 Цель выполнения, наименование, назначение и область применения изделия</w:t>
      </w:r>
    </w:p>
    <w:p>
      <w:pPr>
        <w:pStyle w:val="Req"/>
        <w:spacing w:before="0" w:after="80"/>
      </w:pPr>
      <w:r>
        <w:rPr/>
        <w:t xml:space="preserve">2.1 Цель работы — разработать сменную интерфейсную субплату 8×E1 и функциональный модуль E1, обеспечивающие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pStyle w:val="Req"/>
        <w:spacing w:before="0" w:after="80"/>
      </w:pPr>
      <w:r>
        <w:rPr/>
        <w:t xml:space="preserve">2.2 Изделие предназначено для применения в системах TDM/SDH/PDH, телефонных станциях, системах диспетчеризации и АСУ ТП энергетических и промышленных предприятий.</w:t>
      </w:r>
    </w:p>
    <w:p>
      <w:pPr>
        <w:pStyle w:val="Req"/>
        <w:spacing w:before="0" w:after="80"/>
      </w:pPr>
      <w:r>
        <w:rPr/>
        <w:t xml:space="preserve">2.3 Аппаратная часть изделия должна включать сменную субплату с интерфейсами E1, средствами защиты, трансиверами и EEPROM Board ID.</w:t>
      </w:r>
    </w:p>
    <w:p>
      <w:pPr>
        <w:pStyle w:val="Req"/>
        <w:spacing w:before="0" w:after="80"/>
      </w:pPr>
      <w:r>
        <w:rPr/>
        <w:t xml:space="preserve">2.4 Логическая часть изделия должна быть реализована как функциональный модуль ПЛИС базовой платы и автоматически активироваться по Board ID субплаты.</w:t>
      </w:r>
    </w:p>
    <w:p>
      <w:pPr>
        <w:pStyle w:val="Check"/>
        <w:spacing w:before="0" w:after="80"/>
      </w:pPr>
      <w:r>
        <w:rPr/>
        <w:t xml:space="preserve">Проверка: испытание: установить субплату, считать Board ID и подтвердить автоматический выбор и запуск bitstream E1 из Flash без ручного выбора.</w:t>
      </w:r>
    </w:p>
    <w:p>
      <w:pPr>
        <w:pStyle w:val="Req"/>
        <w:spacing w:before="0" w:after="80"/>
      </w:pPr>
      <w:r>
        <w:rPr/>
        <w:t xml:space="preserve">2.5 AMC с установленной субплатой должен устанавливаться на Carrier платформы ДММП.</w:t>
      </w:r>
    </w:p>
    <w:p>
      <w:pPr>
        <w:pStyle w:val="Req"/>
        <w:spacing w:before="0" w:after="80"/>
      </w:pPr>
      <w:r>
        <w:rPr/>
        <w:t xml:space="preserve">2.6 Обозначение составной части изделия — [уточнить: головной исполнитель ОКР].</w:t>
      </w:r>
    </w:p>
    <w:p>
      <w:pPr>
        <w:pStyle w:val="Heading1"/>
        <w:spacing w:before="0" w:after="80"/>
        <w:keepNext/>
        <w:pageBreakBefore/>
      </w:pPr>
      <w:r>
        <w:rPr/>
        <w:t xml:space="preserve">3 Технические требования к изделию</w:t>
      </w:r>
    </w:p>
    <w:p>
      <w:pPr>
        <w:pStyle w:val="Heading2"/>
        <w:spacing w:before="0" w:after="80"/>
        <w:keepNext/>
      </w:pPr>
      <w:r>
        <w:rPr/>
        <w:t xml:space="preserve">3.1 Архитектура и линии E1</w:t>
      </w:r>
    </w:p>
    <w:p>
      <w:pPr>
        <w:pStyle w:val="Req"/>
        <w:spacing w:before="0" w:after="80"/>
      </w:pPr>
      <w:r>
        <w:rPr/>
        <w:t xml:space="preserve">3.1.1 Субплата должна содержать восемь экранированных разъёмов RJ-48C (8P8C), средства защиты, импульсные трансформаторы, восьмиканальный LIU, EEPROM Board ID и средства индикации портов.</w:t>
      </w:r>
    </w:p>
    <w:p>
      <w:pPr>
        <w:pStyle w:val="Check"/>
        <w:spacing w:before="0" w:after="80"/>
      </w:pPr>
      <w:r>
        <w:rPr/>
        <w:t xml:space="preserve">Проверка: осмотр и сопоставление с РКД; подтвердить наличие и количество перечисленных элементов.</w:t>
      </w:r>
    </w:p>
    <w:p>
      <w:pPr>
        <w:pStyle w:val="Req"/>
        <w:spacing w:before="0" w:after="80"/>
      </w:pPr>
      <w:r>
        <w:rPr/>
        <w:t xml:space="preserve">3.1.2 Числовое значение Board ID — [уточнить: головной исполнитель ОКР до выпуска РКД]; от этого значения зависят программирование EEPROM и автоматический выбор bitstream E1.</w:t>
      </w:r>
    </w:p>
    <w:p>
      <w:pPr>
        <w:pStyle w:val="Check"/>
        <w:spacing w:before="0" w:after="80"/>
      </w:pPr>
      <w:r>
        <w:rPr/>
        <w:t xml:space="preserve">Проверка: считывание EEPROM и проверка соответствия утверждённому значению; до утверждения значения проверка заблокирована.</w:t>
      </w:r>
    </w:p>
    <w:p>
      <w:pPr>
        <w:pStyle w:val="Req"/>
        <w:spacing w:before="0" w:after="80"/>
      </w:pPr>
      <w:r>
        <w:rPr/>
        <w:t xml:space="preserve">3.1.3 Через B2B базовая плата должна предоставлять субплате питание +12 В и +3,3 В, интерфейс MMC и тактирование, а также выбирать bitstream E1 из Flash по Board ID.</w:t>
      </w:r>
    </w:p>
    <w:p>
      <w:pPr>
        <w:pStyle w:val="Check"/>
        <w:spacing w:before="0" w:after="80"/>
      </w:pPr>
      <w:r>
        <w:rPr/>
        <w:t xml:space="preserve">Проверка: измерение наличия двух напряжений питания на B2B, анализ обмена с MMC и тактирования, испытание выбора bitstream по Board ID. Допустимые отклонения напряжений в исходных данных отсутствуют и должны быть установлены в ПМИ на основании утверждённой документации базовой платы.</w:t>
      </w:r>
    </w:p>
    <w:p>
      <w:pPr>
        <w:pStyle w:val="Req"/>
        <w:spacing w:before="0" w:after="80"/>
      </w:pPr>
      <w:r>
        <w:rPr/>
        <w:t xml:space="preserve">3.1.4 Каждый из восьми портов должен иметь симметричный двухпарный интерфейс сопротивлением 120 Ом со скоростью 2048 кбит/с (2,048 Мбит/с) и допустимым отклонением ±50 ppm, линейным кодированием HDB3 или AMI и маской импульса по ITU-T G.703.</w:t>
      </w:r>
    </w:p>
    <w:p>
      <w:pPr>
        <w:pStyle w:val="Check"/>
        <w:spacing w:before="0" w:after="80"/>
      </w:pPr>
      <w:r>
        <w:rPr/>
        <w:t xml:space="preserve">Проверка: измерение параметров каждого порта: сопротивление интерфейса, скорость и отклонение; испытание обоих вариантов линейного кодирования; измерение маски импульса по ITU-T G.703.</w:t>
      </w:r>
    </w:p>
    <w:p>
      <w:pPr>
        <w:pStyle w:val="Req"/>
        <w:spacing w:before="0" w:after="80"/>
      </w:pPr>
      <w:r>
        <w:rPr/>
        <w:t xml:space="preserve">3.1.5 Трансформаторная изоляция каждого порта должна выдерживать не менее 1500 В RMS частотой 50 Гц в течение 1 мин.</w:t>
      </w:r>
    </w:p>
    <w:p>
      <w:pPr>
        <w:pStyle w:val="Check"/>
        <w:spacing w:before="0" w:after="80"/>
      </w:pPr>
      <w:r>
        <w:rPr/>
        <w:t xml:space="preserve">Проверка: испытание электрической прочности каждого порта напряжением 1500 В RMS, 50 Гц, 1 мин; отсутствие пробоя является наблюдаемым результатом.</w:t>
      </w:r>
    </w:p>
    <w:p>
      <w:pPr>
        <w:pStyle w:val="Req"/>
        <w:spacing w:before="0" w:after="80"/>
      </w:pPr>
      <w:r>
        <w:rPr/>
        <w:t xml:space="preserve">3.1.6 Каждый порт должен иметь супрессорную защиту от перенапряжений и ESD. Конкретные уровни воздействия в исходных данных отсутствуют — [уточнить: заказчик совместно с головным исполнителем ОКР до утверждения ПМИ].</w:t>
      </w:r>
    </w:p>
    <w:p>
      <w:pPr>
        <w:pStyle w:val="Check"/>
        <w:spacing w:before="0" w:after="80"/>
      </w:pPr>
      <w:r>
        <w:rPr/>
        <w:t xml:space="preserve">Проверка: осмотр схемы и испытание защиты; значения воздействий и критерии сохранения работоспособности заблокированы до их утверждения.</w:t>
      </w:r>
    </w:p>
    <w:p>
      <w:pPr>
        <w:pStyle w:val="Req"/>
        <w:spacing w:before="0" w:after="80"/>
      </w:pPr>
      <w:r>
        <w:rPr/>
        <w:t xml:space="preserve">3.1.7 Короткое замыкание, обрыв или перепутывание пар одного порта не должны влиять на работу других портов и модуля.</w:t>
      </w:r>
    </w:p>
    <w:p>
      <w:pPr>
        <w:pStyle w:val="Check"/>
        <w:spacing w:before="0" w:after="80"/>
      </w:pPr>
      <w:r>
        <w:rPr/>
        <w:t xml:space="preserve">Проверка: поочерёдно создать на каждом порту КЗ, обрыв и перепутывание пар; подтвердить сохранение работы остальных семи портов и модуля.</w:t>
      </w:r>
    </w:p>
    <w:p>
      <w:pPr>
        <w:pStyle w:val="Heading2"/>
        <w:spacing w:before="0" w:after="80"/>
        <w:keepNext/>
      </w:pPr>
      <w:r>
        <w:rPr/>
        <w:t xml:space="preserve">3.2 Обработка, тактирование и аварии</w:t>
      </w:r>
    </w:p>
    <w:p>
      <w:pPr>
        <w:pStyle w:val="Req"/>
        <w:spacing w:before="0" w:after="80"/>
      </w:pPr>
      <w:r>
        <w:rPr/>
        <w:t xml:space="preserve">3.2.1 Независимо для каждого порта должен поддерживаться профиль А SAToP по RFC 4553: полный неструктурированный поток с настраиваемой полезной нагрузкой и минимальной аппаратной задержкой. Значения диапазона полезной нагрузки и предельной задержки не заданы — [уточнить: заказчик до утверждения ПМИ].</w:t>
      </w:r>
    </w:p>
    <w:p>
      <w:pPr>
        <w:pStyle w:val="Check"/>
        <w:spacing w:before="0" w:after="80"/>
      </w:pPr>
      <w:r>
        <w:rPr/>
        <w:t xml:space="preserve">Проверка: функциональное испытание каждого порта с SAToP и изменением полезной нагрузки; количественная оценка задержки заблокирована до задания предела.</w:t>
      </w:r>
    </w:p>
    <w:p>
      <w:pPr>
        <w:pStyle w:val="Req"/>
        <w:spacing w:before="0" w:after="80"/>
      </w:pPr>
      <w:r>
        <w:rPr/>
        <w:t xml:space="preserve">3.2.2 Независимо для каждого порта должен поддерживаться профиль Б CESoPSN по RFC 5086: N×64 кбит/с, TS1–TS31, ITU-T G.704, CRC-4, CAS по TS16 и CCS.</w:t>
      </w:r>
    </w:p>
    <w:p>
      <w:pPr>
        <w:pStyle w:val="Check"/>
        <w:spacing w:before="0" w:after="80"/>
      </w:pPr>
      <w:r>
        <w:rPr/>
        <w:t xml:space="preserve">Проверка: функциональное испытание каждого порта во всех перечисленных режимах и с выбором канальных интервалов TS1–TS31.</w:t>
      </w:r>
    </w:p>
    <w:p>
      <w:pPr>
        <w:pStyle w:val="Req"/>
        <w:spacing w:before="0" w:after="80"/>
      </w:pPr>
      <w:r>
        <w:rPr/>
        <w:t xml:space="preserve">3.2.3 Профили SAToP и CESoPSN должны настраиваться независимо для каждого порта.</w:t>
      </w:r>
    </w:p>
    <w:p>
      <w:pPr>
        <w:pStyle w:val="Check"/>
        <w:spacing w:before="0" w:after="80"/>
      </w:pPr>
      <w:r>
        <w:rPr/>
        <w:t xml:space="preserve">Проверка: испытание одновременной работы портов с различными выбранными профилями и настройками.</w:t>
      </w:r>
    </w:p>
    <w:p>
      <w:pPr>
        <w:pStyle w:val="Req"/>
        <w:spacing w:before="0" w:after="80"/>
      </w:pPr>
      <w:r>
        <w:rPr/>
        <w:t xml:space="preserve">3.2.4 Передача пакетного трафика должна выполняться через Fabric 10GbE с Strict Priority QoS, без потерь и с минимальной задержкой коммутации. Количественный предел задержки, длительность и профиль нагрузки для подтверждения отсутствия потерь не заданы — [уточнить: заказчик до утверждения ПМИ].</w:t>
      </w:r>
    </w:p>
    <w:p>
      <w:pPr>
        <w:pStyle w:val="Check"/>
        <w:spacing w:before="0" w:after="80"/>
      </w:pPr>
      <w:r>
        <w:rPr/>
        <w:t xml:space="preserve">Проверка: анализ конфигурации QoS и испытание трафиком; критерии длительности, нагрузки и задержки заблокированы до их задания.</w:t>
      </w:r>
    </w:p>
    <w:p>
      <w:pPr>
        <w:pStyle w:val="Req"/>
        <w:spacing w:before="0" w:after="80"/>
      </w:pPr>
      <w:r>
        <w:rPr/>
        <w:t xml:space="preserve">3.2.5 Джиттер-буфер каждого канала должен независимо настраиваться в диапазоне от 1 до 64 мс и компенсировать PDV.</w:t>
      </w:r>
    </w:p>
    <w:p>
      <w:pPr>
        <w:pStyle w:val="Check"/>
        <w:spacing w:before="0" w:after="80"/>
      </w:pPr>
      <w:r>
        <w:rPr/>
        <w:t xml:space="preserve">Проверка: установить граничные значения 1 и 64 мс и промежуточное значение на каждом канале; подать поток с PDV и подтвердить выдачу E1. Допустимая величина PDV не задана — [уточнить: заказчик до утверждения ПМИ].</w:t>
      </w:r>
    </w:p>
    <w:p>
      <w:pPr>
        <w:pStyle w:val="Req"/>
        <w:spacing w:before="0" w:after="80"/>
      </w:pPr>
      <w:r>
        <w:rPr/>
        <w:t xml:space="preserve">3.2.6 При потере пакетов или аварии сети модуль должен выдавать AIS («все единицы») с сохранением тактирования.</w:t>
      </w:r>
    </w:p>
    <w:p>
      <w:pPr>
        <w:pStyle w:val="Check"/>
        <w:spacing w:before="0" w:after="80"/>
      </w:pPr>
      <w:r>
        <w:rPr/>
        <w:t xml:space="preserve">Проверка: внести потерю пакетов и отдельно имитировать аварию сети; подтвердить AIS и непрерывность тактирования для каждого случая.</w:t>
      </w:r>
    </w:p>
    <w:p>
      <w:pPr>
        <w:pStyle w:val="Req"/>
        <w:spacing w:before="0" w:after="80"/>
      </w:pPr>
      <w:r>
        <w:rPr/>
        <w:t xml:space="preserve">3.2.7 Для передатчика должны поддерживаться режимы тактирования: системный TCLK, ACR от пакетной сети, Free-run/Holdover и Loop timing.</w:t>
      </w:r>
    </w:p>
    <w:p>
      <w:pPr>
        <w:pStyle w:val="Check"/>
        <w:spacing w:before="0" w:after="80"/>
      </w:pPr>
      <w:r>
        <w:rPr/>
        <w:t xml:space="preserve">Проверка: поочерёдно выбрать каждый режим и подтвердить формирование выходного потока E1 от соответствующего источника.</w:t>
      </w:r>
    </w:p>
    <w:p>
      <w:pPr>
        <w:pStyle w:val="Req"/>
        <w:spacing w:before="0" w:after="80"/>
      </w:pPr>
      <w:r>
        <w:rPr/>
        <w:t xml:space="preserve">3.2.8 Восстановленный сигнал 2,048 МГц любого выбранного входного порта должен передаваться через B2B как кандидат синхронизации шасси.</w:t>
      </w:r>
    </w:p>
    <w:p>
      <w:pPr>
        <w:pStyle w:val="Check"/>
        <w:spacing w:before="0" w:after="80"/>
      </w:pPr>
      <w:r>
        <w:rPr/>
        <w:t xml:space="preserve">Проверка: поочерёдно выбрать каждый из восьми входных портов и измерением подтвердить наличие восстановленного сигнала 2,048 МГц на B2B.</w:t>
      </w:r>
    </w:p>
    <w:p>
      <w:pPr>
        <w:pStyle w:val="Req"/>
        <w:spacing w:before="0" w:after="80"/>
      </w:pPr>
      <w:r>
        <w:rPr/>
        <w:t xml:space="preserve">3.2.9 Параметры джиттера и вандера должны соответствовать ITU-T G.823.</w:t>
      </w:r>
    </w:p>
    <w:p>
      <w:pPr>
        <w:pStyle w:val="Check"/>
        <w:spacing w:before="0" w:after="80"/>
      </w:pPr>
      <w:r>
        <w:rPr/>
        <w:t xml:space="preserve">Проверка: измерение джиттера и вандера во всех поддерживаемых режимах тактирования по ITU-T G.823.</w:t>
      </w:r>
    </w:p>
    <w:p>
      <w:pPr>
        <w:pStyle w:val="Req"/>
        <w:spacing w:before="0" w:after="80"/>
      </w:pPr>
      <w:r>
        <w:rPr/>
        <w:t xml:space="preserve">3.2.10 Для каждого порта должен выполняться непрерывный контроль LOS, LOF в кадровом режиме, AIS, RAI, CRC-4, нарушений HDB3 и Frame slips.</w:t>
      </w:r>
    </w:p>
    <w:p>
      <w:pPr>
        <w:pStyle w:val="Check"/>
        <w:spacing w:before="0" w:after="80"/>
      </w:pPr>
      <w:r>
        <w:rPr/>
        <w:t xml:space="preserve">Проверка: поочерёдно сформировать каждое контролируемое событие на каждом порту и подтвердить его обнаружение без остановки контроля остальных событий.</w:t>
      </w:r>
    </w:p>
    <w:p>
      <w:pPr>
        <w:pStyle w:val="Req"/>
        <w:spacing w:before="0" w:after="80"/>
      </w:pPr>
      <w:r>
        <w:rPr/>
        <w:t xml:space="preserve">3.2.11 Для каждого порта должна вестись статистика ITU-T G.826: ES, SES и UAS.</w:t>
      </w:r>
    </w:p>
    <w:p>
      <w:pPr>
        <w:pStyle w:val="Check"/>
        <w:spacing w:before="0" w:after="80"/>
      </w:pPr>
      <w:r>
        <w:rPr/>
        <w:t xml:space="preserve">Проверка: внести ошибки и состояния неготовности, подтвердить изменение соответствующих счётчиков ES, SES и UAS по ITU-T G.826.</w:t>
      </w:r>
    </w:p>
    <w:p>
      <w:pPr>
        <w:pStyle w:val="Req"/>
        <w:spacing w:before="0" w:after="80"/>
      </w:pPr>
      <w:r>
        <w:rPr/>
        <w:t xml:space="preserve">3.2.12 Для каждого порта должны поддерживаться Local Line Loopback, Payload Loopback и Packet Loopback.</w:t>
      </w:r>
    </w:p>
    <w:p>
      <w:pPr>
        <w:pStyle w:val="Check"/>
        <w:spacing w:before="0" w:after="80"/>
      </w:pPr>
      <w:r>
        <w:rPr/>
        <w:t xml:space="preserve">Проверка: активировать каждую петлю отдельно на каждом порту и подтвердить возврат данных в соответствующей точке тракта.</w:t>
      </w:r>
    </w:p>
    <w:p>
      <w:pPr>
        <w:pStyle w:val="Req"/>
        <w:spacing w:before="0" w:after="80"/>
      </w:pPr>
      <w:r>
        <w:rPr/>
        <w:t xml:space="preserve">3.2.13 Для каждого порта должны быть предусмотрены встроенные генератор и анализатор PRBS 2^15−1 и 2^23−1 для BER-тестов.</w:t>
      </w:r>
    </w:p>
    <w:p>
      <w:pPr>
        <w:pStyle w:val="Check"/>
        <w:spacing w:before="0" w:after="80"/>
      </w:pPr>
      <w:r>
        <w:rPr/>
        <w:t xml:space="preserve">Проверка: для каждой последовательности включить генератор и анализатор на каждом порту, подтвердить синхронизацию и регистрацию внесённых ошибок.</w:t>
      </w:r>
    </w:p>
    <w:p>
      <w:pPr>
        <w:pStyle w:val="Heading2"/>
        <w:spacing w:before="0" w:after="80"/>
        <w:keepNext/>
      </w:pPr>
      <w:r>
        <w:rPr/>
        <w:t xml:space="preserve">3.3 Конструкция и эксплуатация</w:t>
      </w:r>
    </w:p>
    <w:p>
      <w:pPr>
        <w:pStyle w:val="Req"/>
        <w:spacing w:before="0" w:after="80"/>
      </w:pPr>
      <w:r>
        <w:rPr/>
        <w:t xml:space="preserve">3.3.1 Субплата должна крепиться к общему лонжерону-теплоотводу и лицевой панели. Разъёмы должны сохранять доступ к защёлкам, обзор светодиодов и вентиляцию.</w:t>
      </w:r>
    </w:p>
    <w:p>
      <w:pPr>
        <w:pStyle w:val="Check"/>
        <w:spacing w:before="0" w:after="80"/>
      </w:pPr>
      <w:r>
        <w:rPr/>
        <w:t xml:space="preserve">Проверка: осмотр сборки и проверка доступности защёлок, видимости светодиодов и отсутствия перекрытия предусмотренных вентиляционных проходов.</w:t>
      </w:r>
    </w:p>
    <w:p>
      <w:pPr>
        <w:pStyle w:val="Req"/>
        <w:spacing w:before="0" w:after="80"/>
      </w:pPr>
      <w:r>
        <w:rPr/>
        <w:t xml:space="preserve">3.3.2 Потребляемая мощность при всех активных портах должна быть не более 12 Вт для субплаты и не более 35 Вт для сборки.</w:t>
      </w:r>
    </w:p>
    <w:p>
      <w:pPr>
        <w:pStyle w:val="Check"/>
        <w:spacing w:before="0" w:after="80"/>
      </w:pPr>
      <w:r>
        <w:rPr/>
        <w:t xml:space="preserve">Проверка: измерение мощности субплаты и сборки при восьми активных портах; результаты должны быть соответственно ≤12 Вт и ≤35 Вт. Погрешность измерения не задана — [уточнить: разработчик ПМИ].</w:t>
      </w:r>
    </w:p>
    <w:p>
      <w:pPr>
        <w:pStyle w:val="Req"/>
        <w:spacing w:before="0" w:after="80"/>
      </w:pPr>
      <w:r>
        <w:rPr/>
        <w:t xml:space="preserve">3.3.3 Конструкция сборки должна соответствовать Single Full-size AMC.0 и иметь габариты 73,5 × 180,6 × 28,95 мм.</w:t>
      </w:r>
    </w:p>
    <w:p>
      <w:pPr>
        <w:pStyle w:val="Check"/>
        <w:spacing w:before="0" w:after="80"/>
      </w:pPr>
      <w:r>
        <w:rPr/>
        <w:t xml:space="preserve">Проверка: осмотр на соответствие PICMG AMC.0 R2.0 и измерение трёх габаритных размеров. Допуски измерений не заданы — [уточнить: разработчик РКД и ПМИ].</w:t>
      </w:r>
    </w:p>
    <w:p>
      <w:pPr>
        <w:pStyle w:val="Req"/>
        <w:spacing w:before="0" w:after="80"/>
      </w:pPr>
      <w:r>
        <w:rPr/>
        <w:t xml:space="preserve">3.3.4 Межплатное крепление должно выполняться на 4–6 металлических стойках М2,5.</w:t>
      </w:r>
    </w:p>
    <w:p>
      <w:pPr>
        <w:pStyle w:val="Check"/>
        <w:spacing w:before="0" w:after="80"/>
      </w:pPr>
      <w:r>
        <w:rPr/>
        <w:t xml:space="preserve">Проверка: осмотр: подтвердить 4, 5 или 6 металлических стоек с резьбой М2,5.</w:t>
      </w:r>
    </w:p>
    <w:p>
      <w:pPr>
        <w:pStyle w:val="Req"/>
        <w:spacing w:before="0" w:after="80"/>
      </w:pPr>
      <w:r>
        <w:rPr/>
        <w:t xml:space="preserve">3.3.5 Изделие должно соответствовать ГОСТ РВ 20.39.304-98 для групп 1.1, 1.3, 1.4.1, исполнения «О».</w:t>
      </w:r>
    </w:p>
    <w:p>
      <w:pPr>
        <w:pStyle w:val="Check"/>
        <w:spacing w:before="0" w:after="80"/>
      </w:pPr>
      <w:r>
        <w:rPr/>
        <w:t xml:space="preserve">Проверка: испытания по применимым методам ГОСТ РВ 20.39.304-98 для всех указанных групп и исполнения.</w:t>
      </w:r>
    </w:p>
    <w:p>
      <w:pPr>
        <w:pStyle w:val="Req"/>
        <w:spacing w:before="0" w:after="80"/>
      </w:pPr>
      <w:r>
        <w:rPr/>
        <w:t xml:space="preserve">3.3.6 Рабочий диапазон температуры должен составлять от −10 до +50 °C; предельный диапазон — от −40 до +65 °C.</w:t>
      </w:r>
    </w:p>
    <w:p>
      <w:pPr>
        <w:pStyle w:val="Check"/>
        <w:spacing w:before="0" w:after="80"/>
      </w:pPr>
      <w:r>
        <w:rPr/>
        <w:t xml:space="preserve">Проверка: климатические испытания на нижней и верхней границах каждого диапазона. Требуемое состояние изделия и длительности выдержки не заданы — [уточнить: заказчик до утверждения ПМИ].</w:t>
      </w:r>
    </w:p>
    <w:p>
      <w:pPr>
        <w:pStyle w:val="Req"/>
        <w:spacing w:before="0" w:after="80"/>
      </w:pPr>
      <w:r>
        <w:rPr/>
        <w:t xml:space="preserve">3.3.7 Изделие должно выдерживать синусоидальную вибрацию 5g и удары 15g.</w:t>
      </w:r>
    </w:p>
    <w:p>
      <w:pPr>
        <w:pStyle w:val="Check"/>
        <w:spacing w:before="0" w:after="80"/>
      </w:pPr>
      <w:r>
        <w:rPr/>
        <w:t xml:space="preserve">Проверка: механические испытания при 5g и 15g. Частотный диапазон, длительность, форма и число ударов, направления воздействия и критерии состояния не заданы — [уточнить: заказчик с учётом ГОСТ РВ 20.39.304-98 до утверждения ПМИ].</w:t>
      </w:r>
    </w:p>
    <w:p>
      <w:pPr>
        <w:pStyle w:val="Req"/>
        <w:spacing w:before="0" w:after="80"/>
      </w:pPr>
      <w:r>
        <w:rPr/>
        <w:t xml:space="preserve">3.3.8 По радиопомехам изделие должно соответствовать группе 1.1.1 ГОСТ В 25803-91.</w:t>
      </w:r>
    </w:p>
    <w:p>
      <w:pPr>
        <w:pStyle w:val="Check"/>
        <w:spacing w:before="0" w:after="80"/>
      </w:pPr>
      <w:r>
        <w:rPr/>
        <w:t xml:space="preserve">Проверка: испытания радиопомех по ГОСТ В 25803-91 для группы 1.1.1.</w:t>
      </w:r>
    </w:p>
    <w:p>
      <w:pPr>
        <w:pStyle w:val="Req"/>
        <w:spacing w:before="0" w:after="80"/>
      </w:pPr>
      <w:r>
        <w:rPr/>
        <w:t xml:space="preserve">3.3.9 MTBF должен быть не менее 15 000 ч.</w:t>
      </w:r>
    </w:p>
    <w:p>
      <w:pPr>
        <w:pStyle w:val="Check"/>
        <w:spacing w:before="0" w:after="80"/>
      </w:pPr>
      <w:r>
        <w:rPr/>
        <w:t xml:space="preserve">Проверка: расчёт и/или испытания надёжности по утверждённой методике; результат MTBF ≥15 000 ч. Метод оценки и объём выборки не заданы — [уточнить: заказчик до утверждения ПМИ].</w:t>
      </w:r>
    </w:p>
    <w:p>
      <w:pPr>
        <w:pStyle w:val="Req"/>
        <w:spacing w:before="0" w:after="80"/>
      </w:pPr>
      <w:r>
        <w:rPr/>
        <w:t xml:space="preserve">3.3.10 Назначенный срок службы должен быть не менее 20 лет.</w:t>
      </w:r>
    </w:p>
    <w:p>
      <w:pPr>
        <w:pStyle w:val="Check"/>
        <w:spacing w:before="0" w:after="80"/>
      </w:pPr>
      <w:r>
        <w:rPr/>
        <w:t xml:space="preserve">Проверка: подтверждение расчётом и анализом применённых комплектующих и материалов; метод подтверждения и режимы эксплуатации — [уточнить: заказчик до утверждения ПМИ].</w:t>
      </w:r>
    </w:p>
    <w:p>
      <w:pPr>
        <w:pStyle w:val="Heading1"/>
        <w:spacing w:before="0" w:after="80"/>
        <w:keepNext/>
        <w:pageBreakBefore/>
      </w:pPr>
      <w:r>
        <w:rPr/>
        <w:t xml:space="preserve">4 Технико-экономические требования</w:t>
      </w:r>
    </w:p>
    <w:p>
      <w:pPr>
        <w:pStyle w:val="Req"/>
        <w:spacing w:before="0" w:after="80"/>
      </w:pPr>
      <w:r>
        <w:rPr/>
        <w:t xml:space="preserve">4.1 Технико-экономические требования к изделию не предъявляются.</w:t>
      </w:r>
    </w:p>
    <w:p>
      <w:pPr>
        <w:pStyle w:val="Heading1"/>
        <w:spacing w:before="0" w:after="80"/>
        <w:keepNext/>
        <w:pageBreakBefore/>
      </w:pPr>
      <w:r>
        <w:rPr/>
        <w:t xml:space="preserve">5 Требования к видам обеспечения</w:t>
      </w:r>
    </w:p>
    <w:p>
      <w:pPr>
        <w:pStyle w:val="Heading2"/>
        <w:spacing w:before="0" w:after="80"/>
        <w:keepNext/>
      </w:pPr>
      <w:r>
        <w:rPr/>
        <w:t xml:space="preserve">5.1 Требования к нормативно-техническому обеспечению</w:t>
      </w:r>
    </w:p>
    <w:p>
      <w:pPr>
        <w:pStyle w:val="Req"/>
        <w:spacing w:before="0" w:after="80"/>
      </w:pPr>
      <w:r>
        <w:rPr/>
        <w:t xml:space="preserve">5.1.1 При разработке и проверке изделия должны применяться документы, перечисленные в перечне применимых нормативных и справочных документов настоящего ТЗ, в части, относящейся к изделию и выполняемым работам.</w:t>
      </w:r>
    </w:p>
    <w:p>
      <w:pPr>
        <w:pStyle w:val="Heading2"/>
        <w:spacing w:before="0" w:after="80"/>
        <w:keepNext/>
      </w:pPr>
      <w:r>
        <w:rPr/>
        <w:t xml:space="preserve">5.2 Требования к метрологическому обеспечению</w:t>
      </w:r>
    </w:p>
    <w:p>
      <w:pPr>
        <w:pStyle w:val="Req"/>
        <w:spacing w:before="0" w:after="80"/>
      </w:pPr>
      <w:r>
        <w:rPr/>
        <w:t xml:space="preserve">5.2.1 Должны быть предусмотрены средства и методики измерения маски импульса E1, джиттера и вандера, BER и задержки пакетизации.</w:t>
      </w:r>
    </w:p>
    <w:p>
      <w:pPr>
        <w:pStyle w:val="Check"/>
        <w:spacing w:before="0" w:after="80"/>
      </w:pPr>
      <w:r>
        <w:rPr/>
        <w:t xml:space="preserve">Проверка: анализ ПМИ и состава средств измерений на наличие методик и средств для всех четырёх групп измерений. Незаданные допуски и характеристики средств измерений должны быть установлены на основании утверждённых критериев соответствующих требований; до этого полнота проверки заблокирована.</w:t>
      </w:r>
    </w:p>
    <w:p>
      <w:pPr>
        <w:pStyle w:val="Heading2"/>
        <w:spacing w:before="0" w:after="80"/>
        <w:keepNext/>
      </w:pPr>
      <w:r>
        <w:rPr/>
        <w:t xml:space="preserve">5.3 Требования к диагностическому обеспечению</w:t>
      </w:r>
    </w:p>
    <w:p>
      <w:pPr>
        <w:pStyle w:val="Req"/>
        <w:spacing w:before="0" w:after="80"/>
      </w:pPr>
      <w:r>
        <w:rPr/>
        <w:t xml:space="preserve">5.3.1 Диагностическое обеспечение должно регистрировать LOS, LOF, AIS и RAI, а также счётчики ошибок, и формировать сообщения и отчёты для РМО.</w:t>
      </w:r>
    </w:p>
    <w:p>
      <w:pPr>
        <w:pStyle w:val="Check"/>
        <w:spacing w:before="0" w:after="80"/>
      </w:pPr>
      <w:r>
        <w:rPr/>
        <w:t xml:space="preserve">Проверка: сформировать каждое событие и ошибки; подтвердить регистрацию, изменение счётчиков и наличие соответствующих сообщений и отчётов в РМО.</w:t>
      </w:r>
    </w:p>
    <w:p>
      <w:pPr>
        <w:pStyle w:val="Heading2"/>
        <w:spacing w:before="0" w:after="80"/>
        <w:keepNext/>
      </w:pPr>
      <w:r>
        <w:rPr/>
        <w:t xml:space="preserve">5.4 Требования к программному обеспечению</w:t>
      </w:r>
    </w:p>
    <w:p>
      <w:pPr>
        <w:pStyle w:val="Req"/>
        <w:spacing w:before="0" w:after="80"/>
      </w:pPr>
      <w:r>
        <w:rPr/>
        <w:t xml:space="preserve">5.4.1 В составе результатов разработки должны быть созданы bitstream функционального модуля E1 для Flash базовой платы, драйверы Linux и MIB для РМО / SNMP.</w:t>
      </w:r>
    </w:p>
    <w:p>
      <w:pPr>
        <w:pStyle w:val="Check"/>
        <w:spacing w:before="0" w:after="80"/>
      </w:pPr>
      <w:r>
        <w:rPr/>
        <w:t xml:space="preserve">Проверка: проверка комплектности и функциональные испытания загрузки bitstream, работы драйверов Linux и доступа к объектам MIB по SNMP.</w:t>
      </w:r>
    </w:p>
    <w:p>
      <w:pPr>
        <w:pStyle w:val="Heading1"/>
        <w:spacing w:before="0" w:after="80"/>
        <w:keepNext/>
        <w:pageBreakBefore/>
      </w:pPr>
      <w:r>
        <w:rPr/>
        <w:t xml:space="preserve">6 Требования к сырью, материалам и комплектующим изделиям</w:t>
      </w:r>
    </w:p>
    <w:p>
      <w:pPr>
        <w:pStyle w:val="Req"/>
        <w:spacing w:before="0" w:after="80"/>
      </w:pPr>
      <w:r>
        <w:rPr/>
        <w:t xml:space="preserve">6.1 При выборе материалов и комплектующих приоритет должен отдаваться отечественным материалам и комплектующим с приёмкой ОТК.</w:t>
      </w:r>
    </w:p>
    <w:p>
      <w:pPr>
        <w:pStyle w:val="Check"/>
        <w:spacing w:before="0" w:after="80"/>
      </w:pPr>
      <w:r>
        <w:rPr/>
        <w:t xml:space="preserve">Проверка: анализ ведомостей покупных изделий, материалов и документов о приёмке ОТК.</w:t>
      </w:r>
    </w:p>
    <w:p>
      <w:pPr>
        <w:pStyle w:val="Req"/>
        <w:spacing w:before="0" w:after="80"/>
      </w:pPr>
      <w:r>
        <w:rPr/>
        <w:t xml:space="preserve">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Check"/>
        <w:spacing w:before="0" w:after="80"/>
      </w:pPr>
      <w:r>
        <w:rPr/>
        <w:t xml:space="preserve">Проверка: анализ обоснования отсутствия отечественного аналога и документации изготовителя, подтверждающей промышленный температурный диапазон импортной ЭКБ.</w:t>
      </w:r>
    </w:p>
    <w:p>
      <w:pPr>
        <w:pStyle w:val="Heading1"/>
        <w:spacing w:before="0" w:after="80"/>
        <w:keepNext/>
        <w:pageBreakBefore/>
      </w:pPr>
      <w:r>
        <w:rPr/>
        <w:t xml:space="preserve">7 Требования к консервации, упаковке и маркировке</w:t>
      </w:r>
    </w:p>
    <w:p>
      <w:pPr>
        <w:pStyle w:val="Req"/>
        <w:spacing w:before="0" w:after="80"/>
      </w:pPr>
      <w:r>
        <w:rPr/>
        <w:t xml:space="preserve">7.1 На изделии должны быть нанесены децимальный номер, серийный номер и ревизия; порты должны быть маркированы E1-1…E1-8.</w:t>
      </w:r>
    </w:p>
    <w:p>
      <w:pPr>
        <w:pStyle w:val="Check"/>
        <w:spacing w:before="0" w:after="80"/>
      </w:pPr>
      <w:r>
        <w:rPr/>
        <w:t xml:space="preserve">Проверка: осмотр маркировки изделия и всех восьми портов.</w:t>
      </w:r>
    </w:p>
    <w:p>
      <w:pPr>
        <w:pStyle w:val="Req"/>
        <w:spacing w:before="0" w:after="80"/>
      </w:pPr>
      <w:r>
        <w:rPr/>
        <w:t xml:space="preserve">7.2 Изделие должно поставляться в индивидуальной таре с ESD-защитой.</w:t>
      </w:r>
    </w:p>
    <w:p>
      <w:pPr>
        <w:pStyle w:val="Check"/>
        <w:spacing w:before="0" w:after="80"/>
      </w:pPr>
      <w:r>
        <w:rPr/>
        <w:t xml:space="preserve">Проверка: осмотр упаковки и подтверждающих характеристик ESD-защиты.</w:t>
      </w:r>
    </w:p>
    <w:p>
      <w:pPr>
        <w:pStyle w:val="Req"/>
        <w:spacing w:before="0" w:after="80"/>
      </w:pPr>
      <w:r>
        <w:rPr/>
        <w:t xml:space="preserve">7.3 Срок хранения изделия в заводской таре должен быть не менее 1 года по ГОСТ 15150.</w:t>
      </w:r>
    </w:p>
    <w:p>
      <w:pPr>
        <w:pStyle w:val="Check"/>
        <w:spacing w:before="0" w:after="80"/>
      </w:pPr>
      <w:r>
        <w:rPr/>
        <w:t xml:space="preserve">Проверка: анализ документации на тару и условия хранения, испытание или иное подтверждение по ГОСТ 15150; конкретные условия хранения не заданы — [уточнить: заказчик до утверждения ПМИ и эксплуатационной документации].</w:t>
      </w:r>
    </w:p>
    <w:p>
      <w:pPr>
        <w:pStyle w:val="Req"/>
        <w:spacing w:before="0" w:after="80"/>
      </w:pPr>
      <w:r>
        <w:rPr/>
        <w:t xml:space="preserve">7.4 Дополнительные условия консервации настоящим ТЗ не устанавливаются.</w:t>
      </w:r>
    </w:p>
    <w:p>
      <w:pPr>
        <w:pStyle w:val="Heading1"/>
        <w:spacing w:before="0" w:after="80"/>
        <w:keepNext/>
        <w:pageBreakBefore/>
      </w:pPr>
      <w:r>
        <w:rPr/>
        <w:t xml:space="preserve">8 Специальные требования</w:t>
      </w:r>
    </w:p>
    <w:p>
      <w:pPr>
        <w:pStyle w:val="Req"/>
        <w:spacing w:before="0" w:after="80"/>
      </w:pPr>
      <w:r>
        <w:rPr/>
        <w:t xml:space="preserve">8.1 РМО на C++/Qt должно отображать мнемосхему восьми портов, состояния LOS, LOF, AIS и RAI, счётчики G.826, выбранный профиль SAToP/CESoPSN и источник тактирования.</w:t>
      </w:r>
    </w:p>
    <w:p>
      <w:pPr>
        <w:pStyle w:val="Check"/>
        <w:spacing w:before="0" w:after="80"/>
      </w:pPr>
      <w:r>
        <w:rPr/>
        <w:t xml:space="preserve">Проверка: функциональное испытание РМО: сформировать состояния и изменить настройки для каждого порта; подтвердить корректное отображение всех перечисленных данных.</w:t>
      </w:r>
    </w:p>
    <w:p>
      <w:pPr>
        <w:pStyle w:val="Req"/>
        <w:spacing w:before="0" w:after="80"/>
      </w:pPr>
      <w:r>
        <w:rPr/>
        <w:t xml:space="preserve">8.2 РМО должно обеспечивать команды включения и отключения портов, изменения джиттер-буфера, управления диагностическими петлями и PRBS.</w:t>
      </w:r>
    </w:p>
    <w:p>
      <w:pPr>
        <w:pStyle w:val="Check"/>
        <w:spacing w:before="0" w:after="80"/>
      </w:pPr>
      <w:r>
        <w:rPr/>
        <w:t xml:space="preserve">Проверка: поочерёдно выполнить каждую команду для каждого порта и подтвердить соответствующее изменение состояния изделия.</w:t>
      </w:r>
    </w:p>
    <w:p>
      <w:pPr>
        <w:pStyle w:val="Title"/>
        <w:spacing w:before="0" w:after="80"/>
        <w:pageBreakBefore/>
      </w:pPr>
      <w:r>
        <w:rPr/>
        <w:t xml:space="preserve">ПОДПИСИ РАЗРАБОТЧИКОВ И СОГЛАСУЮЩИХ ЛИЦ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4650"/>
        <w:gridCol w:w="4650"/>
      </w:tblGrid>
      <w:tr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РАЗРАБОТАЛ</w:t>
            </w:r>
          </w:p>
        </w:tc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СОГЛАСОВАНО</w:t>
            </w:r>
          </w:p>
        </w:tc>
      </w:tr>
      <w:tr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/>
              <w:t xml:space="preserve">должность, ООО «тушканчик»: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/>
              <w:t xml:space="preserve">должность, головной исполнитель ОКР: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</w:tr>
      <w:tr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РАЗРАБОТАЛ</w:t>
            </w:r>
          </w:p>
        </w:tc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>
                <w:b/>
              </w:rPr>
              <w:t xml:space="preserve">СОГЛАСОВАНО</w:t>
            </w:r>
          </w:p>
        </w:tc>
      </w:tr>
      <w:tr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/>
              <w:t xml:space="preserve">должность: [уточнить]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  <w:tc>
          <w:tcPr>
            <w:tcW w:w="4650" w:type="dxa"/>
            <w:vAlign w:val="top"/>
          </w:tcPr>
          <w:p>
            <w:pPr>
              <w:jc w:val="center"/>
              <w:spacing w:before="0" w:after="80"/>
            </w:pPr>
            <w:r>
              <w:rPr/>
              <w:t xml:space="preserve">должность, другая организация: [уточнить при необходимости]</w:t>
            </w:r>
          </w:p>
          <w:p>
            <w:pPr>
              <w:jc w:val="center"/>
              <w:spacing w:before="0" w:after="80"/>
            </w:pPr>
            <w:r>
              <w:rPr/>
              <w:t xml:space="preserve">__________ / [уточнить] /</w:t>
            </w:r>
          </w:p>
          <w:p>
            <w:pPr>
              <w:jc w:val="center"/>
              <w:spacing w:before="0" w:after="80"/>
            </w:pPr>
            <w:r>
              <w:rPr/>
              <w:t xml:space="preserve">«___» __________ 20___ г.</w:t>
            </w:r>
          </w:p>
        </w:tc>
      </w:tr>
    </w:tbl>
    <w:sectPr>
      <w:headerReference w:type="default" r:id="rId2"/>
      <w:headerReference w:type="first" r:id="rId3"/>
      <w:titlePg/>
      <w:pgSz w:w="11906" w:h="16838"/>
      <w:pgMar w:top="1134" w:right="1134" w:bottom="1134" w:left="1701" w:header="567" w:footer="567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header2.xml><?xml version="1.0" encoding="utf-8"?>
<w:hdr xmlns:w="http://schemas.openxmlformats.org/wordprocessingml/2006/main">
  <w:p/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ru-RU"/>
      </w:rPr>
    </w:rPrDefault>
    <w:pPrDefault>
      <w:pPr>
        <w:jc w:val="both"/>
        <w:spacing w:after="80" w:line="276" w:lineRule="auto"/>
      </w:pPr>
    </w:pPrDefault>
  </w:docDefaults>
  <w:style w:type="paragraph" w:default="1" w:styleId="Normal">
    <w:name w:val="Обычный"/>
  </w:style>
  <w:style w:type="paragraph" w:styleId="Title">
    <w:name w:val="Название"/>
    <w:basedOn w:val="Normal"/>
    <w:pPr>
      <w:jc w:val="center"/>
      <w:spacing w:before="120" w:after="240"/>
      <w:keepNext/>
    </w:pPr>
    <w:rPr>
      <w:b/>
      <w:sz w:val="28"/>
    </w:rPr>
  </w:style>
  <w:style w:type="paragraph" w:styleId="Heading1">
    <w:name w:val="Заголовок 1"/>
    <w:basedOn w:val="Normal"/>
    <w:pPr>
      <w:spacing w:before="240" w:after="160"/>
      <w:keepNext/>
      <w:outlineLvl w:val="0"/>
    </w:pPr>
    <w:rPr>
      <w:b/>
      <w:sz w:val="26"/>
    </w:rPr>
  </w:style>
  <w:style w:type="paragraph" w:styleId="Heading2">
    <w:name w:val="Заголовок 2"/>
    <w:basedOn w:val="Normal"/>
    <w:pPr>
      <w:spacing w:before="180" w:after="120"/>
      <w:keepNext/>
      <w:outlineLvl w:val="1"/>
    </w:pPr>
    <w:rPr>
      <w:b/>
      <w:sz w:val="23"/>
    </w:rPr>
  </w:style>
  <w:style w:type="paragraph" w:styleId="Req">
    <w:name w:val="Требование"/>
    <w:basedOn w:val="Normal"/>
    <w:pPr>
      <w:spacing w:before="80" w:after="60"/>
    </w:pPr>
  </w:style>
  <w:style w:type="paragraph" w:styleId="Check">
    <w:name w:val="Проверка"/>
    <w:basedOn w:val="Normal"/>
    <w:pPr>
      <w:left w:val="567"/>
      <w:spacing w:after="12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задание. Субплата 8×E1 и функциональный модуль E1</dc:title>
  <dc:creator>ООО «тушканчик»</dc:creator>
  <dc:language>ru-RU</dc:language>
  <dcterms:created xsi:type="dcterms:W3CDTF">2026-10-04T00:00:00Z</dcterms:created>
</cp:coreProperties>
</file>