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120"/>
        <w:gridCol w:w="3120"/>
        <w:gridCol w:w="3120"/>
      </w:tblGrid>
      <w:tr/>
      <w:tr>
        <w:tc>
          <w:tcPr>
            <w:tcW w:w="3120" w:type="dxa"/>
          </w:tcPr>
          <w:p>
            <w:pPr/>
            <w:r>
              <w:t>СОГЛАСОВАНО</w:t>
            </w:r>
            <w:br/>
            <w:r>
              <w:t>Заказчик (НИО заказчика): [уточнить]</w:t>
            </w:r>
            <w:br/>
            <w:br/>
            <w:r>
              <w:t>Подпись: —</w:t>
            </w:r>
            <w:br/>
            <w:r>
              <w:t>Инициалы, фамилия: [уточнить]</w:t>
            </w:r>
            <w:br/>
            <w:r>
              <w:t>Дата: [уточнить]</w:t>
            </w:r>
          </w:p>
        </w:tc>
        <w:tc>
          <w:tcPr>
            <w:tcW w:w="3120" w:type="dxa"/>
          </w:tcPr>
          <w:p>
            <w:pPr/>
            <w:r>
              <w:t>СОГЛАСОВАНО</w:t>
            </w:r>
            <w:br/>
            <w:r>
              <w:t>Исполнитель составной части ОКР:</w:t>
            </w:r>
            <w:br/>
            <w:r>
              <w:t>ООО «тушканчик»</w:t>
            </w:r>
            <w:br/>
            <w:br/>
            <w:r>
              <w:t>Подпись: —</w:t>
            </w:r>
            <w:br/>
            <w:r>
              <w:t>Инициалы, фамилия: [уточнить]</w:t>
            </w:r>
            <w:br/>
            <w:r>
              <w:t>Дата: [уточнить]</w:t>
            </w:r>
          </w:p>
        </w:tc>
        <w:tc>
          <w:tcPr>
            <w:tcW w:w="3120" w:type="dxa"/>
          </w:tcPr>
          <w:p>
            <w:pPr/>
            <w:r>
              <w:t>УТВЕРЖДАЮ</w:t>
            </w:r>
            <w:br/>
            <w:r>
              <w:t>Головной исполнитель ОКР: [уточнить]</w:t>
            </w:r>
            <w:br/>
            <w:br/>
            <w:r>
              <w:t>Подпись: —</w:t>
            </w:r>
            <w:br/>
            <w:r>
              <w:t>Инициалы, фамилия: [уточнить]</w:t>
            </w:r>
            <w:br/>
            <w:r>
              <w:t>Дата: [уточнить]</w:t>
            </w:r>
          </w:p>
        </w:tc>
      </w:tr>
    </w:tbl>
    <w:p>
      <w:pPr>
        <w:pStyle w:val="Title"/>
      </w:pPr>
      <w:r>
        <w:t>ТЕХНИЧЕСКОЕ ЗАДАНИЕ</w:t>
      </w:r>
    </w:p>
    <w:p>
      <w:pPr>
        <w:pStyle w:val="Title"/>
      </w:pPr>
      <w:r>
        <w:t>НА СОСТАВНУЮ ЧАСТЬ ОПЫТНО-КОНСТРУКТОРСКОЙ РАБОТЫ</w:t>
      </w:r>
    </w:p>
    <w:p>
      <w:pPr>
        <w:pStyle w:val="Title"/>
      </w:pPr>
      <w:r>
        <w:t>«Разработка сменной интерфейсной субплаты 8×E1 и функционального модуля E1 для универсального базового модуля AMC семейства ДММП»</w:t>
      </w:r>
    </w:p>
    <w:p>
      <w:pPr/>
      <w:r>
        <w:t>Шифр ОКР «Развитие-ТСА»</w:t>
      </w:r>
    </w:p>
    <w:p>
      <w:pPr/>
      <w:r>
        <w:t>Обозначение составной части изделия: [уточнить]</w:t>
      </w:r>
    </w:p>
    <w:p>
      <w:pPr/>
      <w:r>
        <w:t>Проект</w:t>
      </w:r>
    </w:p>
    <w:p>
      <w:pPr/>
      <w:r>
        <w:t>Основание: приказ об открытии инициативной ОКР № [уточнить] от [уточнить].</w:t>
      </w:r>
    </w:p>
    <w:p>
      <w:pPr/>
      <w:r>
        <w:t>Действует с дополнением: —</w:t>
      </w:r>
    </w:p>
    <w:p>
      <w:pPr>
        <w:pStyle w:val="Heading1"/>
        <w:pageBreakBefore/>
      </w:pPr>
      <w:r>
        <w:t>ЛИСТ СОГЛАСОВАНИЯ</w:t>
      </w:r>
    </w:p>
    <w:p>
      <w:pPr/>
      <w:r>
        <w:t>Лист оформлен для согласования проекта ТЗ. Реквизиты, не заданные исходными данными, приведены как поля для заполнения.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</w:tcPr>
          <w:p>
            <w:pPr/>
            <w:r>
              <w:t>Организация / роль</w:t>
            </w:r>
          </w:p>
        </w:tc>
        <w:tc>
          <w:tcPr>
            <w:tcW w:w="1872" w:type="dxa"/>
          </w:tcPr>
          <w:p>
            <w:pPr/>
            <w:r>
              <w:t>Должность, ФИО</w:t>
            </w:r>
          </w:p>
        </w:tc>
        <w:tc>
          <w:tcPr>
            <w:tcW w:w="1872" w:type="dxa"/>
          </w:tcPr>
          <w:p>
            <w:pPr/>
            <w:r>
              <w:t>Подпись</w:t>
            </w:r>
          </w:p>
        </w:tc>
        <w:tc>
          <w:tcPr>
            <w:tcW w:w="1872" w:type="dxa"/>
          </w:tcPr>
          <w:p>
            <w:pPr/>
            <w:r>
              <w:t>Дата</w:t>
            </w:r>
          </w:p>
        </w:tc>
        <w:tc>
          <w:tcPr>
            <w:tcW w:w="1872" w:type="dxa"/>
          </w:tcPr>
          <w:p>
            <w:pPr/>
            <w:r>
              <w:t>Отметка</w:t>
            </w:r>
          </w:p>
        </w:tc>
      </w:tr>
      <w:tr>
        <w:tc>
          <w:tcPr>
            <w:tcW w:w="1872" w:type="dxa"/>
          </w:tcPr>
          <w:p>
            <w:pPr/>
            <w:r>
              <w:t>Заказчик (либо НИО заказчика)</w:t>
            </w:r>
          </w:p>
        </w:tc>
        <w:tc>
          <w:tcPr>
            <w:tcW w:w="1872" w:type="dxa"/>
          </w:tcPr>
          <w:p>
            <w:pPr/>
            <w:r>
              <w:t>[уточнить]</w:t>
            </w:r>
          </w:p>
        </w:tc>
        <w:tc>
          <w:tcPr>
            <w:tcW w:w="1872" w:type="dxa"/>
          </w:tcPr>
          <w:p>
            <w:pPr/>
            <w:r>
              <w:t>—</w:t>
            </w:r>
          </w:p>
        </w:tc>
        <w:tc>
          <w:tcPr>
            <w:tcW w:w="1872" w:type="dxa"/>
          </w:tcPr>
          <w:p>
            <w:pPr/>
            <w:r>
              <w:t>[уточнить]</w:t>
            </w:r>
          </w:p>
        </w:tc>
        <w:tc>
          <w:tcPr>
            <w:tcW w:w="1872" w:type="dxa"/>
          </w:tcPr>
          <w:p>
            <w:pPr/>
            <w:r>
              <w:t>СОГЛАСОВАНО</w:t>
            </w:r>
          </w:p>
        </w:tc>
      </w:tr>
      <w:tr>
        <w:tc>
          <w:tcPr>
            <w:tcW w:w="1872" w:type="dxa"/>
          </w:tcPr>
          <w:p>
            <w:pPr/>
            <w:r>
              <w:t>Головной исполнитель ОКР</w:t>
            </w:r>
          </w:p>
        </w:tc>
        <w:tc>
          <w:tcPr>
            <w:tcW w:w="1872" w:type="dxa"/>
          </w:tcPr>
          <w:p>
            <w:pPr/>
            <w:r>
              <w:t>[уточнить]</w:t>
            </w:r>
          </w:p>
        </w:tc>
        <w:tc>
          <w:tcPr>
            <w:tcW w:w="1872" w:type="dxa"/>
          </w:tcPr>
          <w:p>
            <w:pPr/>
            <w:r>
              <w:t>—</w:t>
            </w:r>
          </w:p>
        </w:tc>
        <w:tc>
          <w:tcPr>
            <w:tcW w:w="1872" w:type="dxa"/>
          </w:tcPr>
          <w:p>
            <w:pPr/>
            <w:r>
              <w:t>[уточнить]</w:t>
            </w:r>
          </w:p>
        </w:tc>
        <w:tc>
          <w:tcPr>
            <w:tcW w:w="1872" w:type="dxa"/>
          </w:tcPr>
          <w:p>
            <w:pPr/>
            <w:r>
              <w:t>УТВЕРЖДАЮ</w:t>
            </w:r>
          </w:p>
        </w:tc>
      </w:tr>
      <w:tr>
        <w:tc>
          <w:tcPr>
            <w:tcW w:w="1872" w:type="dxa"/>
          </w:tcPr>
          <w:p>
            <w:pPr/>
            <w:r>
              <w:t>Исполнитель СЧ ОКР — ООО «тушканчик»</w:t>
            </w:r>
          </w:p>
        </w:tc>
        <w:tc>
          <w:tcPr>
            <w:tcW w:w="1872" w:type="dxa"/>
          </w:tcPr>
          <w:p>
            <w:pPr/>
            <w:r>
              <w:t>[уточнить]</w:t>
            </w:r>
          </w:p>
        </w:tc>
        <w:tc>
          <w:tcPr>
            <w:tcW w:w="1872" w:type="dxa"/>
          </w:tcPr>
          <w:p>
            <w:pPr/>
            <w:r>
              <w:t>—</w:t>
            </w:r>
          </w:p>
        </w:tc>
        <w:tc>
          <w:tcPr>
            <w:tcW w:w="1872" w:type="dxa"/>
          </w:tcPr>
          <w:p>
            <w:pPr/>
            <w:r>
              <w:t>[уточнить]</w:t>
            </w:r>
          </w:p>
        </w:tc>
        <w:tc>
          <w:tcPr>
            <w:tcW w:w="1872" w:type="dxa"/>
          </w:tcPr>
          <w:p>
            <w:pPr/>
            <w:r>
              <w:t>СОГЛАСОВАНО</w:t>
            </w:r>
          </w:p>
        </w:tc>
      </w:tr>
      <w:tr>
        <w:tc>
          <w:tcPr>
            <w:tcW w:w="1872" w:type="dxa"/>
          </w:tcPr>
          <w:p>
            <w:pPr/>
            <w:r>
              <w:t>Иные согласующие организации (при решении заказчика или головного исполнителя ОКР, согласованном с заказчиком)</w:t>
            </w:r>
          </w:p>
        </w:tc>
        <w:tc>
          <w:tcPr>
            <w:tcW w:w="1872" w:type="dxa"/>
          </w:tcPr>
          <w:p>
            <w:pPr/>
            <w:r>
              <w:t>[уточнить]</w:t>
            </w:r>
          </w:p>
        </w:tc>
        <w:tc>
          <w:tcPr>
            <w:tcW w:w="1872" w:type="dxa"/>
          </w:tcPr>
          <w:p>
            <w:pPr/>
            <w:r>
              <w:t>—</w:t>
            </w:r>
          </w:p>
        </w:tc>
        <w:tc>
          <w:tcPr>
            <w:tcW w:w="1872" w:type="dxa"/>
          </w:tcPr>
          <w:p>
            <w:pPr/>
            <w:r>
              <w:t>[уточнить]</w:t>
            </w:r>
          </w:p>
        </w:tc>
        <w:tc>
          <w:tcPr>
            <w:tcW w:w="1872" w:type="dxa"/>
          </w:tcPr>
          <w:p>
            <w:pPr/>
            <w:r>
              <w:t>СОГЛАСОВАНО</w:t>
            </w:r>
          </w:p>
        </w:tc>
      </w:tr>
    </w:tbl>
    <w:p>
      <w:pPr>
        <w:pStyle w:val="Note"/>
      </w:pPr>
      <w:r>
        <w:t>Согласование может быть оформлено отдельным документом; в этом случае в ТЗ приводят ссылку на такой документ. Реквизиты отдельного документа: [уточнить].</w:t>
      </w:r>
    </w:p>
    <w:p>
      <w:pPr>
        <w:pStyle w:val="Heading1"/>
        <w:pageBreakBefore/>
      </w:pPr>
      <w:r>
        <w:t>ПЕРЕЧЕНЬ ОБОЗНАЧЕНИЙ, ТЕРМИНОВ И СОКРАЩЕНИЙ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/>
            <w:r>
              <w:t>Обозначение / термин</w:t>
            </w:r>
          </w:p>
        </w:tc>
        <w:tc>
          <w:tcPr>
            <w:tcW w:w="4680" w:type="dxa"/>
          </w:tcPr>
          <w:p>
            <w:pPr/>
            <w:r>
              <w:t>Раскрытие и применяемое значение</w:t>
            </w:r>
          </w:p>
        </w:tc>
      </w:tr>
      <w:tr>
        <w:tc>
          <w:tcPr>
            <w:tcW w:w="4680" w:type="dxa"/>
          </w:tcPr>
          <w:p>
            <w:pPr/>
            <w:r>
              <w:t>ТЗ</w:t>
            </w:r>
          </w:p>
        </w:tc>
        <w:tc>
          <w:tcPr>
            <w:tcW w:w="4680" w:type="dxa"/>
          </w:tcPr>
          <w:p>
            <w:pPr/>
            <w:r>
              <w:t>Техническое задание — исходный технический документ для проведения работы, устанавливающий требования к создаваемому изделию (его составной части) и документации на него, а также требования к объёму, срокам работы и форме представления результатов.</w:t>
            </w:r>
          </w:p>
        </w:tc>
      </w:tr>
      <w:tr>
        <w:tc>
          <w:tcPr>
            <w:tcW w:w="4680" w:type="dxa"/>
          </w:tcPr>
          <w:p>
            <w:pPr/>
            <w:r>
              <w:t>ОКР</w:t>
            </w:r>
          </w:p>
        </w:tc>
        <w:tc>
          <w:tcPr>
            <w:tcW w:w="4680" w:type="dxa"/>
          </w:tcPr>
          <w:p>
            <w:pPr/>
            <w:r>
              <w:t>Опытно-конструкторская работа.</w:t>
            </w:r>
          </w:p>
        </w:tc>
      </w:tr>
      <w:tr>
        <w:tc>
          <w:tcPr>
            <w:tcW w:w="4680" w:type="dxa"/>
          </w:tcPr>
          <w:p>
            <w:pPr/>
            <w:r>
              <w:t>СЧ ОКР</w:t>
            </w:r>
          </w:p>
        </w:tc>
        <w:tc>
          <w:tcPr>
            <w:tcW w:w="4680" w:type="dxa"/>
          </w:tcPr>
          <w:p>
            <w:pPr/>
            <w:r>
              <w:t>Составная часть опытно-конструкторской работы.</w:t>
            </w:r>
          </w:p>
        </w:tc>
      </w:tr>
      <w:tr>
        <w:tc>
          <w:tcPr>
            <w:tcW w:w="4680" w:type="dxa"/>
          </w:tcPr>
          <w:p>
            <w:pPr/>
            <w:r>
              <w:t>AMC</w:t>
            </w:r>
          </w:p>
        </w:tc>
        <w:tc>
          <w:tcPr>
            <w:tcW w:w="4680" w:type="dxa"/>
          </w:tcPr>
          <w:p>
            <w:pPr/>
            <w:r>
              <w:t>Формат/интерфейс AMC, указанный в PICMG AMC.0 R2.0; в настоящем ТЗ — Single Full-size AMC.0. Полное словесное раскрытие аббревиатуры в исходных данных не приведено.</w:t>
            </w:r>
          </w:p>
        </w:tc>
      </w:tr>
      <w:tr>
        <w:tc>
          <w:tcPr>
            <w:tcW w:w="4680" w:type="dxa"/>
          </w:tcPr>
          <w:p>
            <w:pPr/>
            <w:r>
              <w:t>ПЛИС</w:t>
            </w:r>
          </w:p>
        </w:tc>
        <w:tc>
          <w:tcPr>
            <w:tcW w:w="4680" w:type="dxa"/>
          </w:tcPr>
          <w:p>
            <w:pPr/>
            <w:r>
              <w:t>Программируемая логическая интегральная схема; в настоящем ТЗ — базовой платы.</w:t>
            </w:r>
          </w:p>
        </w:tc>
      </w:tr>
      <w:tr>
        <w:tc>
          <w:tcPr>
            <w:tcW w:w="4680" w:type="dxa"/>
          </w:tcPr>
          <w:p>
            <w:pPr/>
            <w:r>
              <w:t>B2B</w:t>
            </w:r>
          </w:p>
        </w:tc>
        <w:tc>
          <w:tcPr>
            <w:tcW w:w="4680" w:type="dxa"/>
          </w:tcPr>
          <w:p>
            <w:pPr/>
            <w:r>
              <w:t>Межплатное соединение субплаты с базовой платой; через него базовая плата предоставляет питание, MMC и тактирование, выбирает bitstream E1 и принимает кандидата синхронизации шасси.</w:t>
            </w:r>
          </w:p>
        </w:tc>
      </w:tr>
      <w:tr>
        <w:tc>
          <w:tcPr>
            <w:tcW w:w="4680" w:type="dxa"/>
          </w:tcPr>
          <w:p>
            <w:pPr/>
            <w:r>
              <w:t>Board ID</w:t>
            </w:r>
          </w:p>
        </w:tc>
        <w:tc>
          <w:tcPr>
            <w:tcW w:w="4680" w:type="dxa"/>
          </w:tcPr>
          <w:p>
            <w:pPr/>
            <w:r>
              <w:t>Идентификатор субплаты, хранимый в EEPROM; используется для автоматической активации функционального модуля и выбора bitstream E1 из Flash. Числовое значение: [уточнить].</w:t>
            </w:r>
          </w:p>
        </w:tc>
      </w:tr>
      <w:tr>
        <w:tc>
          <w:tcPr>
            <w:tcW w:w="4680" w:type="dxa"/>
          </w:tcPr>
          <w:p>
            <w:pPr/>
            <w:r>
              <w:t>MMC</w:t>
            </w:r>
          </w:p>
        </w:tc>
        <w:tc>
          <w:tcPr>
            <w:tcW w:w="4680" w:type="dxa"/>
          </w:tcPr>
          <w:p>
            <w:pPr/>
            <w:r>
              <w:t>MMC, предоставляемый базовой платой через B2B. Полное словесное раскрытие аббревиатуры в исходных данных не приведено.</w:t>
            </w:r>
          </w:p>
        </w:tc>
      </w:tr>
      <w:tr>
        <w:tc>
          <w:tcPr>
            <w:tcW w:w="4680" w:type="dxa"/>
          </w:tcPr>
          <w:p>
            <w:pPr/>
            <w:r>
              <w:t>РМО</w:t>
            </w:r>
          </w:p>
        </w:tc>
        <w:tc>
          <w:tcPr>
            <w:tcW w:w="4680" w:type="dxa"/>
          </w:tcPr>
          <w:p>
            <w:pPr/>
            <w:r>
              <w:t>Рабочее место оператора; в настоящем ТЗ — получатель сообщений и отчётов диагностики и пользователь телеметрии.</w:t>
            </w:r>
          </w:p>
        </w:tc>
      </w:tr>
      <w:tr>
        <w:tc>
          <w:tcPr>
            <w:tcW w:w="4680" w:type="dxa"/>
          </w:tcPr>
          <w:p>
            <w:pPr/>
            <w:r>
              <w:t>РКД</w:t>
            </w:r>
          </w:p>
        </w:tc>
        <w:tc>
          <w:tcPr>
            <w:tcW w:w="4680" w:type="dxa"/>
          </w:tcPr>
          <w:p>
            <w:pPr/>
            <w:r>
              <w:t>Рабочая конструкторская документация.</w:t>
            </w:r>
          </w:p>
        </w:tc>
      </w:tr>
      <w:tr>
        <w:tc>
          <w:tcPr>
            <w:tcW w:w="4680" w:type="dxa"/>
          </w:tcPr>
          <w:p>
            <w:pPr/>
            <w:r>
              <w:t>ПМИ</w:t>
            </w:r>
          </w:p>
        </w:tc>
        <w:tc>
          <w:tcPr>
            <w:tcW w:w="4680" w:type="dxa"/>
          </w:tcPr>
          <w:p>
            <w:pPr/>
            <w:r>
              <w:t>Программа и методика испытаний.</w:t>
            </w:r>
          </w:p>
        </w:tc>
      </w:tr>
      <w:tr>
        <w:tc>
          <w:tcPr>
            <w:tcW w:w="4680" w:type="dxa"/>
          </w:tcPr>
          <w:p>
            <w:pPr/>
            <w:r>
              <w:t>TDM</w:t>
            </w:r>
          </w:p>
        </w:tc>
        <w:tc>
          <w:tcPr>
            <w:tcW w:w="4680" w:type="dxa"/>
          </w:tcPr>
          <w:p>
            <w:pPr/>
            <w:r>
              <w:t>Передача с временным разделением каналов; передаётся через Ethernet.</w:t>
            </w:r>
          </w:p>
        </w:tc>
      </w:tr>
      <w:tr>
        <w:tc>
          <w:tcPr>
            <w:tcW w:w="4680" w:type="dxa"/>
          </w:tcPr>
          <w:p>
            <w:pPr/>
            <w:r>
              <w:t>E1</w:t>
            </w:r>
          </w:p>
        </w:tc>
        <w:tc>
          <w:tcPr>
            <w:tcW w:w="4680" w:type="dxa"/>
          </w:tcPr>
          <w:p>
            <w:pPr/>
            <w:r>
              <w:t>Линия с номинальной скоростью 2048 кбит/с (2,048 Мбит/с), предусмотренная настоящим ТЗ.</w:t>
            </w:r>
          </w:p>
        </w:tc>
      </w:tr>
      <w:tr>
        <w:tc>
          <w:tcPr>
            <w:tcW w:w="4680" w:type="dxa"/>
          </w:tcPr>
          <w:p>
            <w:pPr/>
            <w:r>
              <w:t>LIU</w:t>
            </w:r>
          </w:p>
        </w:tc>
        <w:tc>
          <w:tcPr>
            <w:tcW w:w="4680" w:type="dxa"/>
          </w:tcPr>
          <w:p>
            <w:pPr/>
            <w:r>
              <w:t>Восьмиканальный LIU субплаты; полное словесное раскрытие аббревиатуры в исходных данных не приведено.</w:t>
            </w:r>
          </w:p>
        </w:tc>
      </w:tr>
      <w:tr>
        <w:tc>
          <w:tcPr>
            <w:tcW w:w="4680" w:type="dxa"/>
          </w:tcPr>
          <w:p>
            <w:pPr/>
            <w:r>
              <w:t>EEPROM</w:t>
            </w:r>
          </w:p>
        </w:tc>
        <w:tc>
          <w:tcPr>
            <w:tcW w:w="4680" w:type="dxa"/>
          </w:tcPr>
          <w:p>
            <w:pPr/>
            <w:r>
              <w:t>Энергонезависимая память субплаты для хранения Board ID.</w:t>
            </w:r>
          </w:p>
        </w:tc>
      </w:tr>
      <w:tr>
        <w:tc>
          <w:tcPr>
            <w:tcW w:w="4680" w:type="dxa"/>
          </w:tcPr>
          <w:p>
            <w:pPr/>
            <w:r>
              <w:t>SAToP</w:t>
            </w:r>
          </w:p>
        </w:tc>
        <w:tc>
          <w:tcPr>
            <w:tcW w:w="4680" w:type="dxa"/>
          </w:tcPr>
          <w:p>
            <w:pPr/>
            <w:r>
              <w:t>Профиль А передачи полного неструктурированного потока по RFC 4553.</w:t>
            </w:r>
          </w:p>
        </w:tc>
      </w:tr>
      <w:tr>
        <w:tc>
          <w:tcPr>
            <w:tcW w:w="4680" w:type="dxa"/>
          </w:tcPr>
          <w:p>
            <w:pPr/>
            <w:r>
              <w:t>CESoPSN</w:t>
            </w:r>
          </w:p>
        </w:tc>
        <w:tc>
          <w:tcPr>
            <w:tcW w:w="4680" w:type="dxa"/>
          </w:tcPr>
          <w:p>
            <w:pPr/>
            <w:r>
              <w:t>Профиль Б передачи N×64 кбит/с по RFC 5086.</w:t>
            </w:r>
          </w:p>
        </w:tc>
      </w:tr>
      <w:tr>
        <w:tc>
          <w:tcPr>
            <w:tcW w:w="4680" w:type="dxa"/>
          </w:tcPr>
          <w:p>
            <w:pPr/>
            <w:r>
              <w:t>PDV</w:t>
            </w:r>
          </w:p>
        </w:tc>
        <w:tc>
          <w:tcPr>
            <w:tcW w:w="4680" w:type="dxa"/>
          </w:tcPr>
          <w:p>
            <w:pPr/>
            <w:r>
              <w:t>Вариация задержки пакетов; компенсируется джиттер-буфером.</w:t>
            </w:r>
          </w:p>
        </w:tc>
      </w:tr>
      <w:tr>
        <w:tc>
          <w:tcPr>
            <w:tcW w:w="4680" w:type="dxa"/>
          </w:tcPr>
          <w:p>
            <w:pPr/>
            <w:r>
              <w:t>QoS</w:t>
            </w:r>
          </w:p>
        </w:tc>
        <w:tc>
          <w:tcPr>
            <w:tcW w:w="4680" w:type="dxa"/>
          </w:tcPr>
          <w:p>
            <w:pPr/>
            <w:r>
              <w:t>Приоритизация обслуживания; для Fabric 10GbE задан Strict Priority QoS.</w:t>
            </w:r>
          </w:p>
        </w:tc>
      </w:tr>
      <w:tr>
        <w:tc>
          <w:tcPr>
            <w:tcW w:w="4680" w:type="dxa"/>
          </w:tcPr>
          <w:p>
            <w:pPr/>
            <w:r>
              <w:t>AIS</w:t>
            </w:r>
          </w:p>
        </w:tc>
        <w:tc>
          <w:tcPr>
            <w:tcW w:w="4680" w:type="dxa"/>
          </w:tcPr>
          <w:p>
            <w:pPr/>
            <w:r>
              <w:t>Аварийная индикация: «все единицы».</w:t>
            </w:r>
          </w:p>
        </w:tc>
      </w:tr>
      <w:tr>
        <w:tc>
          <w:tcPr>
            <w:tcW w:w="4680" w:type="dxa"/>
          </w:tcPr>
          <w:p>
            <w:pPr/>
            <w:r>
              <w:t>LOS</w:t>
            </w:r>
          </w:p>
        </w:tc>
        <w:tc>
          <w:tcPr>
            <w:tcW w:w="4680" w:type="dxa"/>
          </w:tcPr>
          <w:p>
            <w:pPr/>
            <w:r>
              <w:t>Состояние, подлежащее непрерывному контролю. Полное словесное раскрытие в исходных данных не приведено.</w:t>
            </w:r>
          </w:p>
        </w:tc>
      </w:tr>
      <w:tr>
        <w:tc>
          <w:tcPr>
            <w:tcW w:w="4680" w:type="dxa"/>
          </w:tcPr>
          <w:p>
            <w:pPr/>
            <w:r>
              <w:t>LOF</w:t>
            </w:r>
          </w:p>
        </w:tc>
        <w:tc>
          <w:tcPr>
            <w:tcW w:w="4680" w:type="dxa"/>
          </w:tcPr>
          <w:p>
            <w:pPr/>
            <w:r>
              <w:t>Состояние, подлежащее непрерывному контролю в кадровом режиме. Полное словесное раскрытие в исходных данных не приведено.</w:t>
            </w:r>
          </w:p>
        </w:tc>
      </w:tr>
      <w:tr>
        <w:tc>
          <w:tcPr>
            <w:tcW w:w="4680" w:type="dxa"/>
          </w:tcPr>
          <w:p>
            <w:pPr/>
            <w:r>
              <w:t>RAI</w:t>
            </w:r>
          </w:p>
        </w:tc>
        <w:tc>
          <w:tcPr>
            <w:tcW w:w="4680" w:type="dxa"/>
          </w:tcPr>
          <w:p>
            <w:pPr/>
            <w:r>
              <w:t>Состояние, подлежащее непрерывному контролю. Полное словесное раскрытие в исходных данных не приведено.</w:t>
            </w:r>
          </w:p>
        </w:tc>
      </w:tr>
      <w:tr>
        <w:tc>
          <w:tcPr>
            <w:tcW w:w="4680" w:type="dxa"/>
          </w:tcPr>
          <w:p>
            <w:pPr/>
            <w:r>
              <w:t>CRC-4</w:t>
            </w:r>
          </w:p>
        </w:tc>
        <w:tc>
          <w:tcPr>
            <w:tcW w:w="4680" w:type="dxa"/>
          </w:tcPr>
          <w:p>
            <w:pPr/>
            <w:r>
              <w:t>Режим контроля, требуемый для CESoPSN.</w:t>
            </w:r>
          </w:p>
        </w:tc>
      </w:tr>
      <w:tr>
        <w:tc>
          <w:tcPr>
            <w:tcW w:w="4680" w:type="dxa"/>
          </w:tcPr>
          <w:p>
            <w:pPr/>
            <w:r>
              <w:t>CAS / CCS</w:t>
            </w:r>
          </w:p>
        </w:tc>
        <w:tc>
          <w:tcPr>
            <w:tcW w:w="4680" w:type="dxa"/>
          </w:tcPr>
          <w:p>
            <w:pPr/>
            <w:r>
              <w:t>CAS (TS16) и CCS — режимы, требуемые для CESoPSN. Полные словесные раскрытия в исходных данных не приведены.</w:t>
            </w:r>
          </w:p>
        </w:tc>
      </w:tr>
      <w:tr>
        <w:tc>
          <w:tcPr>
            <w:tcW w:w="4680" w:type="dxa"/>
          </w:tcPr>
          <w:p>
            <w:pPr/>
            <w:r>
              <w:t>TS</w:t>
            </w:r>
          </w:p>
        </w:tc>
        <w:tc>
          <w:tcPr>
            <w:tcW w:w="4680" w:type="dxa"/>
          </w:tcPr>
          <w:p>
            <w:pPr/>
            <w:r>
              <w:t>Временной интервал; для CESoPSN предусмотрены TS1–TS31 и CAS (TS16).</w:t>
            </w:r>
          </w:p>
        </w:tc>
      </w:tr>
      <w:tr>
        <w:tc>
          <w:tcPr>
            <w:tcW w:w="4680" w:type="dxa"/>
          </w:tcPr>
          <w:p>
            <w:pPr/>
            <w:r>
              <w:t>ACR</w:t>
            </w:r>
          </w:p>
        </w:tc>
        <w:tc>
          <w:tcPr>
            <w:tcW w:w="4680" w:type="dxa"/>
          </w:tcPr>
          <w:p>
            <w:pPr/>
            <w:r>
              <w:t>Режим восстановления тактирования от пакетной сети.</w:t>
            </w:r>
          </w:p>
        </w:tc>
      </w:tr>
      <w:tr>
        <w:tc>
          <w:tcPr>
            <w:tcW w:w="4680" w:type="dxa"/>
          </w:tcPr>
          <w:p>
            <w:pPr/>
            <w:r>
              <w:t>TCLK</w:t>
            </w:r>
          </w:p>
        </w:tc>
        <w:tc>
          <w:tcPr>
            <w:tcW w:w="4680" w:type="dxa"/>
          </w:tcPr>
          <w:p>
            <w:pPr/>
            <w:r>
              <w:t>Системный TCLK — один из режимов передатчика. Полное словесное раскрытие в исходных данных не приведено.</w:t>
            </w:r>
          </w:p>
        </w:tc>
      </w:tr>
      <w:tr>
        <w:tc>
          <w:tcPr>
            <w:tcW w:w="4680" w:type="dxa"/>
          </w:tcPr>
          <w:p>
            <w:pPr/>
            <w:r>
              <w:t>PRBS</w:t>
            </w:r>
          </w:p>
        </w:tc>
        <w:tc>
          <w:tcPr>
            <w:tcW w:w="4680" w:type="dxa"/>
          </w:tcPr>
          <w:p>
            <w:pPr/>
            <w:r>
              <w:t>Псевдослучайная двоичная последовательность для BER-тестов.</w:t>
            </w:r>
          </w:p>
        </w:tc>
      </w:tr>
      <w:tr>
        <w:tc>
          <w:tcPr>
            <w:tcW w:w="4680" w:type="dxa"/>
          </w:tcPr>
          <w:p>
            <w:pPr/>
            <w:r>
              <w:t>BER</w:t>
            </w:r>
          </w:p>
        </w:tc>
        <w:tc>
          <w:tcPr>
            <w:tcW w:w="4680" w:type="dxa"/>
          </w:tcPr>
          <w:p>
            <w:pPr/>
            <w:r>
              <w:t>Показатель ошибок, для проверки которого предусмотрены генератор/анализатор PRBS.</w:t>
            </w:r>
          </w:p>
        </w:tc>
      </w:tr>
      <w:tr>
        <w:tc>
          <w:tcPr>
            <w:tcW w:w="4680" w:type="dxa"/>
          </w:tcPr>
          <w:p>
            <w:pPr/>
            <w:r>
              <w:t>ES, SES, UAS</w:t>
            </w:r>
          </w:p>
        </w:tc>
        <w:tc>
          <w:tcPr>
            <w:tcW w:w="4680" w:type="dxa"/>
          </w:tcPr>
          <w:p>
            <w:pPr/>
            <w:r>
              <w:t>Показатели статистики G.826. Полные словесные раскрытия в исходных данных не приведены.</w:t>
            </w:r>
          </w:p>
        </w:tc>
      </w:tr>
      <w:tr>
        <w:tc>
          <w:tcPr>
            <w:tcW w:w="4680" w:type="dxa"/>
          </w:tcPr>
          <w:p>
            <w:pPr/>
            <w:r>
              <w:t>ESD</w:t>
            </w:r>
          </w:p>
        </w:tc>
        <w:tc>
          <w:tcPr>
            <w:tcW w:w="4680" w:type="dxa"/>
          </w:tcPr>
          <w:p>
            <w:pPr/>
            <w:r>
              <w:t>Электростатический разряд; от него предусматривается супрессорная защита.</w:t>
            </w:r>
          </w:p>
        </w:tc>
      </w:tr>
      <w:tr>
        <w:tc>
          <w:tcPr>
            <w:tcW w:w="4680" w:type="dxa"/>
          </w:tcPr>
          <w:p>
            <w:pPr/>
            <w:r>
              <w:t>SNMP</w:t>
            </w:r>
          </w:p>
        </w:tc>
        <w:tc>
          <w:tcPr>
            <w:tcW w:w="4680" w:type="dxa"/>
          </w:tcPr>
          <w:p>
            <w:pPr/>
            <w:r>
              <w:t>Протокол, для которого предусматривается MIB для РМО. Полное словесное раскрытие в исходных данных не приведено.</w:t>
            </w:r>
          </w:p>
        </w:tc>
      </w:tr>
      <w:tr>
        <w:tc>
          <w:tcPr>
            <w:tcW w:w="4680" w:type="dxa"/>
          </w:tcPr>
          <w:p>
            <w:pPr/>
            <w:r>
              <w:t>MIB</w:t>
            </w:r>
          </w:p>
        </w:tc>
        <w:tc>
          <w:tcPr>
            <w:tcW w:w="4680" w:type="dxa"/>
          </w:tcPr>
          <w:p>
            <w:pPr/>
            <w:r>
              <w:t>Информационная база управления для РМО / SNMP.</w:t>
            </w:r>
          </w:p>
        </w:tc>
      </w:tr>
      <w:tr>
        <w:tc>
          <w:tcPr>
            <w:tcW w:w="4680" w:type="dxa"/>
          </w:tcPr>
          <w:p>
            <w:pPr/>
            <w:r>
              <w:t>ОТК</w:t>
            </w:r>
          </w:p>
        </w:tc>
        <w:tc>
          <w:tcPr>
            <w:tcW w:w="4680" w:type="dxa"/>
          </w:tcPr>
          <w:p>
            <w:pPr/>
            <w:r>
              <w:t>Приёмка отдела технического контроля.</w:t>
            </w:r>
          </w:p>
        </w:tc>
      </w:tr>
    </w:tbl>
    <w:p>
      <w:pPr>
        <w:pStyle w:val="Heading1"/>
        <w:pageBreakBefore/>
      </w:pPr>
      <w:r>
        <w:t>ПРИМЕНИМЫЕ НОРМАТИВНЫЕ И СПРАВОЧНЫЕ ДОКУМЕНТЫ</w:t>
      </w:r>
    </w:p>
    <w:p>
      <w:pPr/>
      <w:r>
        <w:t>Ниже перечислены документы, заданные исходными требованиями. Их применимость к конкретной проверке устанавливают по указанному в ТЗ предмету требования.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/>
            <w:r>
              <w:t>Обозначение</w:t>
            </w:r>
          </w:p>
        </w:tc>
        <w:tc>
          <w:tcPr>
            <w:tcW w:w="4680" w:type="dxa"/>
          </w:tcPr>
          <w:p>
            <w:pPr/>
            <w:r>
              <w:t>Применение в настоящем ТЗ</w:t>
            </w:r>
          </w:p>
        </w:tc>
      </w:tr>
      <w:tr>
        <w:tc>
          <w:tcPr>
            <w:tcW w:w="4680" w:type="dxa"/>
          </w:tcPr>
          <w:p>
            <w:pPr/>
            <w:r>
              <w:t>ГОСТ 15.016-2016</w:t>
            </w:r>
          </w:p>
        </w:tc>
        <w:tc>
          <w:tcPr>
            <w:tcW w:w="4680" w:type="dxa"/>
          </w:tcPr>
          <w:p>
            <w:pPr/>
            <w:r>
              <w:t>Построение, содержание, изложение и оформление ТЗ на составную часть ОКР (разделы 6.1, 6.2 и 7.1).</w:t>
            </w:r>
          </w:p>
        </w:tc>
      </w:tr>
      <w:tr>
        <w:tc>
          <w:tcPr>
            <w:tcW w:w="4680" w:type="dxa"/>
          </w:tcPr>
          <w:p>
            <w:pPr/>
            <w:r>
              <w:t>ITU-T G.703</w:t>
            </w:r>
          </w:p>
        </w:tc>
        <w:tc>
          <w:tcPr>
            <w:tcW w:w="4680" w:type="dxa"/>
          </w:tcPr>
          <w:p>
            <w:pPr/>
            <w:r>
              <w:t>Маска импульса E1.</w:t>
            </w:r>
          </w:p>
        </w:tc>
      </w:tr>
      <w:tr>
        <w:tc>
          <w:tcPr>
            <w:tcW w:w="4680" w:type="dxa"/>
          </w:tcPr>
          <w:p>
            <w:pPr/>
            <w:r>
              <w:t>ITU-T G.704</w:t>
            </w:r>
          </w:p>
        </w:tc>
        <w:tc>
          <w:tcPr>
            <w:tcW w:w="4680" w:type="dxa"/>
          </w:tcPr>
          <w:p>
            <w:pPr/>
            <w:r>
              <w:t>Кадровый режим, TS1–TS31, CRC-4, CAS (TS16), CCS.</w:t>
            </w:r>
          </w:p>
        </w:tc>
      </w:tr>
      <w:tr>
        <w:tc>
          <w:tcPr>
            <w:tcW w:w="4680" w:type="dxa"/>
          </w:tcPr>
          <w:p>
            <w:pPr/>
            <w:r>
              <w:t>ITU-T G.823</w:t>
            </w:r>
          </w:p>
        </w:tc>
        <w:tc>
          <w:tcPr>
            <w:tcW w:w="4680" w:type="dxa"/>
          </w:tcPr>
          <w:p>
            <w:pPr/>
            <w:r>
              <w:t>Джиттер и вандер.</w:t>
            </w:r>
          </w:p>
        </w:tc>
      </w:tr>
      <w:tr>
        <w:tc>
          <w:tcPr>
            <w:tcW w:w="4680" w:type="dxa"/>
          </w:tcPr>
          <w:p>
            <w:pPr/>
            <w:r>
              <w:t>ITU-T G.826</w:t>
            </w:r>
          </w:p>
        </w:tc>
        <w:tc>
          <w:tcPr>
            <w:tcW w:w="4680" w:type="dxa"/>
          </w:tcPr>
          <w:p>
            <w:pPr/>
            <w:r>
              <w:t>Статистика ES, SES, UAS.</w:t>
            </w:r>
          </w:p>
        </w:tc>
      </w:tr>
      <w:tr>
        <w:tc>
          <w:tcPr>
            <w:tcW w:w="4680" w:type="dxa"/>
          </w:tcPr>
          <w:p>
            <w:pPr/>
            <w:r>
              <w:t>RFC 4553 (SAToP)</w:t>
            </w:r>
          </w:p>
        </w:tc>
        <w:tc>
          <w:tcPr>
            <w:tcW w:w="4680" w:type="dxa"/>
          </w:tcPr>
          <w:p>
            <w:pPr/>
            <w:r>
              <w:t>Профиль А.</w:t>
            </w:r>
          </w:p>
        </w:tc>
      </w:tr>
      <w:tr>
        <w:tc>
          <w:tcPr>
            <w:tcW w:w="4680" w:type="dxa"/>
          </w:tcPr>
          <w:p>
            <w:pPr/>
            <w:r>
              <w:t>RFC 5086 (CESoPSN)</w:t>
            </w:r>
          </w:p>
        </w:tc>
        <w:tc>
          <w:tcPr>
            <w:tcW w:w="4680" w:type="dxa"/>
          </w:tcPr>
          <w:p>
            <w:pPr/>
            <w:r>
              <w:t>Профиль Б.</w:t>
            </w:r>
          </w:p>
        </w:tc>
      </w:tr>
      <w:tr>
        <w:tc>
          <w:tcPr>
            <w:tcW w:w="4680" w:type="dxa"/>
          </w:tcPr>
          <w:p>
            <w:pPr/>
            <w:r>
              <w:t>PICMG AMC.0 R2.0</w:t>
            </w:r>
          </w:p>
        </w:tc>
        <w:tc>
          <w:tcPr>
            <w:tcW w:w="4680" w:type="dxa"/>
          </w:tcPr>
          <w:p>
            <w:pPr/>
            <w:r>
              <w:t>Конструкция Single Full-size AMC.0.</w:t>
            </w:r>
          </w:p>
        </w:tc>
      </w:tr>
      <w:tr>
        <w:tc>
          <w:tcPr>
            <w:tcW w:w="4680" w:type="dxa"/>
          </w:tcPr>
          <w:p>
            <w:pPr/>
            <w:r>
              <w:t>ГОСТ РВ 20.39.304-98</w:t>
            </w:r>
          </w:p>
        </w:tc>
        <w:tc>
          <w:tcPr>
            <w:tcW w:w="4680" w:type="dxa"/>
          </w:tcPr>
          <w:p>
            <w:pPr/>
            <w:r>
              <w:t>Стойкость: группы 1.1, 1.3, 1.4.1; исполнение «О».</w:t>
            </w:r>
          </w:p>
        </w:tc>
      </w:tr>
      <w:tr>
        <w:tc>
          <w:tcPr>
            <w:tcW w:w="4680" w:type="dxa"/>
          </w:tcPr>
          <w:p>
            <w:pPr/>
            <w:r>
              <w:t>ГОСТ В 25803-91</w:t>
            </w:r>
          </w:p>
        </w:tc>
        <w:tc>
          <w:tcPr>
            <w:tcW w:w="4680" w:type="dxa"/>
          </w:tcPr>
          <w:p>
            <w:pPr/>
            <w:r>
              <w:t>Радиопомехи: группа 1.1.1.</w:t>
            </w:r>
          </w:p>
        </w:tc>
      </w:tr>
      <w:tr>
        <w:tc>
          <w:tcPr>
            <w:tcW w:w="4680" w:type="dxa"/>
          </w:tcPr>
          <w:p>
            <w:pPr/>
            <w:r>
              <w:t>ГОСТ 2.114-2016</w:t>
            </w:r>
          </w:p>
        </w:tc>
        <w:tc>
          <w:tcPr>
            <w:tcW w:w="4680" w:type="dxa"/>
          </w:tcPr>
          <w:p>
            <w:pPr/>
            <w:r>
              <w:t>Применимый нормативный документ, заданный исходными требованиями.</w:t>
            </w:r>
          </w:p>
        </w:tc>
      </w:tr>
      <w:tr>
        <w:tc>
          <w:tcPr>
            <w:tcW w:w="4680" w:type="dxa"/>
          </w:tcPr>
          <w:p>
            <w:pPr/>
            <w:r>
              <w:t>ГОСТ РВ 15.201-2003</w:t>
            </w:r>
          </w:p>
        </w:tc>
        <w:tc>
          <w:tcPr>
            <w:tcW w:w="4680" w:type="dxa"/>
          </w:tcPr>
          <w:p>
            <w:pPr/>
            <w:r>
              <w:t>Применимый нормативный документ, заданный исходными требованиями.</w:t>
            </w:r>
          </w:p>
        </w:tc>
      </w:tr>
      <w:tr>
        <w:tc>
          <w:tcPr>
            <w:tcW w:w="4680" w:type="dxa"/>
          </w:tcPr>
          <w:p>
            <w:pPr/>
            <w:r>
              <w:t>ГОСТ 15150</w:t>
            </w:r>
          </w:p>
        </w:tc>
        <w:tc>
          <w:tcPr>
            <w:tcW w:w="4680" w:type="dxa"/>
          </w:tcPr>
          <w:p>
            <w:pPr/>
            <w:r>
              <w:t>Хранение в заводской таре.</w:t>
            </w:r>
          </w:p>
        </w:tc>
      </w:tr>
    </w:tbl>
    <w:p>
      <w:pPr>
        <w:pStyle w:val="Heading1"/>
        <w:pageBreakBefore/>
      </w:pPr>
      <w:r>
        <w:t>1 Наименование, шифр, основание, исполнители и сроки ОКР</w:t>
      </w:r>
    </w:p>
    <w:p>
      <w:pPr/>
      <w:r>
        <w:t>1.1 Наименование СЧ ОКР: «Разработка сменной интерфейсной субплаты 8×E1 и функционального модуля E1 для универсального базового модуля AMC семейства ДММП».</w:t>
      </w:r>
    </w:p>
    <w:p>
      <w:pPr/>
      <w:r>
        <w:t>1.2 Шифр ОКР — «Развитие-ТСА». Дополнительный шифр СЧ ОКР не задан: [уточнить].</w:t>
      </w:r>
    </w:p>
    <w:p>
      <w:pPr/>
      <w:r>
        <w:t>1.3 Основание выполнения: приказ об открытии инициативной ОКР № [уточнить] от [уточнить].</w:t>
      </w:r>
    </w:p>
    <w:p>
      <w:pPr/>
      <w:r>
        <w:t>1.4 Исполнитель СЧ ОКР — ООО «тушканчик» (условное наименование из исходных данных). Головной исполнитель ОКР и заказчик: [уточнить].</w:t>
      </w:r>
    </w:p>
    <w:p>
      <w:pPr/>
      <w:r>
        <w:t>1.5 Сроки выполнения СЧ ОКР устанавливают применительно к утверждённому плану-графику разработки РКД, программной документации, изготовления образцов и испытаний. Календарные даты начала, окончания и промежуточные сроки: [уточнить].</w:t>
      </w:r>
    </w:p>
    <w:p>
      <w:pPr>
        <w:pStyle w:val="Note"/>
      </w:pPr>
      <w:r>
        <w:t>Проверка. Инспекцией титульного листа, листа согласования и утверждённого план-графика подтверждают наличие и соответствие реквизитов 1.1–1.5. Проверка календарных сроков невозможна до утверждения план-графика.</w:t>
      </w:r>
    </w:p>
    <w:p>
      <w:pPr>
        <w:pStyle w:val="Heading1"/>
      </w:pPr>
      <w:r>
        <w:t>2 Цель выполнения, наименование, назначение и область применения изделия</w:t>
      </w:r>
    </w:p>
    <w:p>
      <w:pPr/>
      <w:r>
        <w:t>2.1 Цель СЧ ОКР — подключить восемь независимых линий E1 к платформе ДММП с передачей TDM через Ethernet, компенсацией сетевого джиттера и восстановлением частоты.</w:t>
      </w:r>
    </w:p>
    <w:p>
      <w:pPr/>
      <w:r>
        <w:t>2.2 Изделие состоит из аппаратной части и логической части. Аппаратная часть включает субплату, интерфейсы, защиту, трансиверы и EEPROM. Логическая часть — функциональный модуль ПЛИС базовой платы, автоматически активируемый по Board ID.</w:t>
      </w:r>
    </w:p>
    <w:p>
      <w:pPr/>
      <w:r>
        <w:t>2.3 AMC устанавливают на Carrier платформы ДММП.</w:t>
      </w:r>
    </w:p>
    <w:p>
      <w:pPr/>
      <w:r>
        <w:t>2.4 Область применения: TDM/SDH/PDH, телефонные станции, диспетчеризация и АСУ ТП энергетических и промышленных предприятий.</w:t>
      </w:r>
    </w:p>
    <w:p>
      <w:pPr>
        <w:pStyle w:val="Note"/>
      </w:pPr>
      <w:r>
        <w:t>Проверка. Инспекцией состава и тестированием в составе Carrier платформы ДММП подтверждают наличие восьми независимых E1 и автоматическую активацию функционального модуля по Board ID. Условия и критерии испытаний Carrier, не заданные исходными данными, определяют в ПМИ.</w:t>
      </w:r>
    </w:p>
    <w:p>
      <w:pPr>
        <w:pStyle w:val="Heading1"/>
      </w:pPr>
      <w:r>
        <w:t>3 Технические требования к изделию</w:t>
      </w:r>
    </w:p>
    <w:p>
      <w:pPr>
        <w:pStyle w:val="Heading2"/>
      </w:pPr>
      <w:r>
        <w:t>3.1 Архитектура и линии E1</w:t>
      </w:r>
    </w:p>
    <w:p>
      <w:pPr/>
      <w:r>
        <w:t>3.1.1 Субплата должна содержать восемь экранированных разъёмов RJ-48C (8P8C), защиту, импульсные трансформаторы, восьмиканальный LIU, EEPROM Board ID и индикацию портов.</w:t>
      </w:r>
    </w:p>
    <w:p>
      <w:pPr/>
      <w:r>
        <w:t>3.1.2 Через B2B базовая плата должна предоставлять +12 В, +3,3 В, MMC и тактирование, а также выбирать bitstream E1 из Flash по Board ID. Числовой Board ID: [уточнить].</w:t>
      </w:r>
    </w:p>
    <w:p>
      <w:pPr/>
      <w:r>
        <w:t>3.1.3 Каждый порт должен иметь симметричный двухпарный интерфейс 120 Ом, скорость 2048 кбит/с (2,048 Мбит/с) ±50 ppm, код HDB3 или AMI и маску импульса по ITU-T G.703.</w:t>
      </w:r>
    </w:p>
    <w:p>
      <w:pPr/>
      <w:r>
        <w:t>3.1.4 Каждый порт должен иметь трансформаторную изоляцию не менее 1500 В RMS при 50 Гц в течение 1 мин, а также супрессорную защиту от перенапряжений и ESD.</w:t>
      </w:r>
    </w:p>
    <w:p>
      <w:pPr/>
      <w:r>
        <w:t>3.1.5 Короткое замыкание, обрыв или перепутывание пар одного порта не должны влиять на другие порты и модуль.</w:t>
      </w:r>
    </w:p>
    <w:p>
      <w:pPr>
        <w:pStyle w:val="Note"/>
      </w:pPr>
      <w:r>
        <w:t>Проверка требований 3.1. Осмотром подтверждают состав субплаты, разъёмы, индикацию и наличие EEPROM. Измерением подтверждают сопротивление 120 Ом, скорость 2048 кбит/с (2,048 Мбит/с) ±50 ppm, маску по ITU-T G.703 и изоляцию ≥1500 В RMS, 50 Гц, 1 мин. Испытанием каждого из трёх воздействий по 3.1.5 на одном порте подтверждают отсутствие влияния на остальные порты и модуль. Методика воздействия, не заданная исходными данными, подлежит установлению в ПМИ.</w:t>
      </w:r>
    </w:p>
    <w:p>
      <w:pPr>
        <w:pStyle w:val="Heading2"/>
      </w:pPr>
      <w:r>
        <w:t>3.2 Обработка, тактирование и аварии</w:t>
      </w:r>
    </w:p>
    <w:p>
      <w:pPr/>
      <w:r>
        <w:t>3.2.1 Для каждого порта должен поддерживаться профиль А SAToP по RFC 4553: полный неструктурированный поток с настраиваемой полезной нагрузкой и минимальной аппаратной задержкой.</w:t>
      </w:r>
    </w:p>
    <w:p>
      <w:pPr/>
      <w:r>
        <w:t>3.2.2 Для каждого порта должен поддерживаться профиль Б CESoPSN по RFC 5086: N×64 кбит/с, TS1–TS31, ITU-T G.704, CRC-4, CAS (TS16) и CCS.</w:t>
      </w:r>
    </w:p>
    <w:p>
      <w:pPr/>
      <w:r>
        <w:t>3.2.3 Fabric 10GbE должен обеспечивать Strict Priority QoS, работу без потерь и минимальную задержку коммутации.</w:t>
      </w:r>
    </w:p>
    <w:p>
      <w:pPr/>
      <w:r>
        <w:t>3.2.4 Джиттер-буфер каждого канала должен иметь настраиваемое значение от 1 до 64 мс для компенсации PDV.</w:t>
      </w:r>
    </w:p>
    <w:p>
      <w:pPr/>
      <w:r>
        <w:t>3.2.5 При потере пакетов или аварии сети модуль должен выдавать AIS («все единицы») и сохранять тактирование.</w:t>
      </w:r>
    </w:p>
    <w:p>
      <w:pPr/>
      <w:r>
        <w:t>3.2.6 Должны поддерживаться режимы передатчика: системный TCLK, ACR от пакетной сети, Free-run/Holdover и Loop timing.</w:t>
      </w:r>
    </w:p>
    <w:p>
      <w:pPr/>
      <w:r>
        <w:t>3.2.7 Восстановленные 2,048 МГц любого выбранного входного порта должны передаваться через B2B как кандидат синхронизации шасси. Джиттер и вандер должны соответствовать ITU-T G.823.</w:t>
      </w:r>
    </w:p>
    <w:p>
      <w:pPr/>
      <w:r>
        <w:t>3.2.8 Должен непрерывно контролироваться LOS, LOF в кадровом режиме, AIS, RAI, CRC-4, нарушения HDB3 и Frame slips. Должна вестись статистика ITU-T G.826: ES, SES, UAS.</w:t>
      </w:r>
    </w:p>
    <w:p>
      <w:pPr/>
      <w:r>
        <w:t>3.2.9 Для каждого порта должны быть предусмотрены Local Line Loopback, Payload Loopback и Packet Loopback, а также встроенные генератор и анализатор PRBS 215−1 и 223−1 для BER-тестов.</w:t>
      </w:r>
    </w:p>
    <w:p>
      <w:pPr>
        <w:pStyle w:val="Note"/>
      </w:pPr>
      <w:r>
        <w:t>Проверка требований 3.2. Тестированием каждого порта подтверждают оба профиля с перечисленными режимами/полями, диапазон джиттер-буфера 1–64 мс, все четыре режима передатчика, передачу кандидата 2,048 МГц через B2B, все контролируемые аварийные состояния, статистику ES/SES/UAS, три петли и обе PRBS. При моделировании потери пакетов и аварии сети наблюдают AIS («все единицы») при сохранении тактирования. Джиттер и вандер измеряют по ITU-T G.823. Численные критерии «минимальной» задержки, «без потерь» и метод моделирования сети исходными данными не установлены; они должны быть заданы в ПМИ без изменения требований 3.2.1, 3.2.3 и 3.2.5.</w:t>
      </w:r>
    </w:p>
    <w:p>
      <w:pPr>
        <w:pStyle w:val="Heading2"/>
      </w:pPr>
      <w:r>
        <w:t>3.3 Конструкция и эксплуатация</w:t>
      </w:r>
    </w:p>
    <w:p>
      <w:pPr/>
      <w:r>
        <w:t>3.3.1 Конструкция должна обеспечивать крепление к общему лонжерону-теплоотводу и лицевой панели; разъёмы должны оставлять доступ к защёлкам, обзор светодиодов и вентиляцию.</w:t>
      </w:r>
    </w:p>
    <w:p>
      <w:pPr/>
      <w:r>
        <w:t>3.3.2 Потребляемая мощность при всех активных портах: субплата — не более 12 Вт; сборка — не более 35 Вт.</w:t>
      </w:r>
    </w:p>
    <w:p>
      <w:pPr/>
      <w:r>
        <w:t>3.3.3 Конструктивное исполнение — Single Full-size AMC.0, габаритные размеры 73,5 × 180,6 × 28,95 мм; межплатное крепление — на 4–6 металлических стойках М2,5.</w:t>
      </w:r>
    </w:p>
    <w:p>
      <w:pPr/>
      <w:r>
        <w:t>3.3.4 Стойкость должна соответствовать ГОСТ РВ 20.39.304-98: группы 1.1, 1.3, 1.4.1, исполнение «О»; рабочая температура −10…+50 °C, предельная температура −40…+65 °C, синусоидальная вибрация 5g, удары 15g. Радиопомехи — группа 1.1.1 ГОСТ В 25803-91.</w:t>
      </w:r>
    </w:p>
    <w:p>
      <w:pPr/>
      <w:r>
        <w:t>3.3.5 Средняя наработка на отказ должна быть не менее 15 000 ч; назначенный срок службы — не менее 20 лет.</w:t>
      </w:r>
    </w:p>
    <w:p>
      <w:pPr>
        <w:pStyle w:val="Note"/>
      </w:pPr>
      <w:r>
        <w:t>Проверка требований 3.3. Осмотром и измерением подтверждают конструкцию, доступ/обзор/вентиляцию, размеры и 4–6 стоек М2,5. При всех активных портах измеряют мощность субплаты и сборки. Испытаниями по указанным группам и воздействующим факторам подтверждают 3.3.4. Оценку показателей 3.3.5 выполняют методом, который должен быть установлен в ПМИ; исходные данные не задают критерии отказа, объём выборки и метод оценки.</w:t>
      </w:r>
    </w:p>
    <w:p>
      <w:pPr>
        <w:pStyle w:val="Heading1"/>
      </w:pPr>
      <w:r>
        <w:t>4 Технико-экономические требования</w:t>
      </w:r>
    </w:p>
    <w:p>
      <w:pPr/>
      <w:r>
        <w:t>4.1 Технико-экономические требования не предъявляются.</w:t>
      </w:r>
    </w:p>
    <w:p>
      <w:pPr/>
      <w:r>
        <w:t>Проверка. Не требуется, поскольку требования не предъявляются.</w:t>
      </w:r>
    </w:p>
    <w:p>
      <w:pPr>
        <w:pStyle w:val="Heading1"/>
      </w:pPr>
      <w:r>
        <w:t>5 Требования к видам обеспечения</w:t>
      </w:r>
    </w:p>
    <w:p>
      <w:pPr/>
      <w:r>
        <w:t>5.1 Нормативное обеспечение должно включать документы, приведённые в перечне применимых нормативных и справочных документов настоящего ТЗ.</w:t>
      </w:r>
    </w:p>
    <w:p>
      <w:pPr/>
      <w:r>
        <w:t>5.2 Метрологическое обеспечение должно предусматривать средства и методики измерения маски импульса E1, джиттера/вандера, BER и задержки пакетизации. Незаданные допуски не устанавливаются.</w:t>
      </w:r>
    </w:p>
    <w:p>
      <w:pPr/>
      <w:r>
        <w:t>5.3 Диагностическое обеспечение должно обеспечивать регистрацию LOS/LOF/AIS/RAI и счётчиков ошибок, формирование сообщений и отчётов для РМО.</w:t>
      </w:r>
    </w:p>
    <w:p>
      <w:pPr/>
      <w:r>
        <w:t>5.4 Программное обеспечение должно включать bitstream функционального модуля для Flash базовой платы, драйверы Linux и MIB для РМО / SNMP.</w:t>
      </w:r>
    </w:p>
    <w:p>
      <w:pPr>
        <w:pStyle w:val="Note"/>
      </w:pPr>
      <w:r>
        <w:t>Проверка. Инспекцией состава документации, средств, методик и программных поставочных единиц подтверждают 5.1–5.4. Измерения выполняют предусмотренными средствами и методиками. Допуски для BER и задержки пакетизации исходными данными не установлены; их установление относится к соответствующей ПМИ.</w:t>
      </w:r>
    </w:p>
    <w:p>
      <w:pPr>
        <w:pStyle w:val="Heading1"/>
      </w:pPr>
      <w:r>
        <w:t>6 Требования к сырью, материалам и комплектующим изделиям</w:t>
      </w:r>
    </w:p>
    <w:p>
      <w:pPr/>
      <w:r>
        <w:t>6.1 При выборе материалов и комплектующих изделий должен быть обеспечен приоритет отечественных материалов и комплектующих с приёмкой ОТК.</w:t>
      </w:r>
    </w:p>
    <w:p>
      <w:pPr/>
      <w:r>
        <w:t>6.2 При отсутствии отечественных аналогов допускается применение импортной ЭКБ промышленного температурного диапазона.</w:t>
      </w:r>
    </w:p>
    <w:p>
      <w:pPr/>
      <w:r>
        <w:t>Проверка. Инспекцией ведомости материалов и комплектующих, документов приёмки ОТК и документов об отсутствии отечественных аналогов подтверждают соблюдение 6.1 и условие применения 6.2.</w:t>
      </w:r>
    </w:p>
    <w:p>
      <w:pPr>
        <w:pStyle w:val="Heading1"/>
      </w:pPr>
      <w:r>
        <w:t>7 Требования к консервации, упаковке и маркировке</w:t>
      </w:r>
    </w:p>
    <w:p>
      <w:pPr/>
      <w:r>
        <w:t>7.1 На изделии должны быть предусмотрены децимальный номер, серийный номер, ревизия и маркировка портов E1-1…E1-8.</w:t>
      </w:r>
    </w:p>
    <w:p>
      <w:pPr/>
      <w:r>
        <w:t>7.2 Должна быть предусмотрена индивидуальная тара с ESD-защитой.</w:t>
      </w:r>
    </w:p>
    <w:p>
      <w:pPr/>
      <w:r>
        <w:t>7.3 Хранение в заводской таре должно обеспечиваться не менее 1 года по ГОСТ 15150.</w:t>
      </w:r>
    </w:p>
    <w:p>
      <w:pPr/>
      <w:r>
        <w:t>7.4 Условия и средства консервации, не заданные исходными данными, настоящим ТЗ не устанавливаются.</w:t>
      </w:r>
    </w:p>
    <w:p>
      <w:pPr/>
      <w:r>
        <w:t>Проверка. Осмотром маркировки и индивидуальной тары подтверждают 7.1 и 7.2. Инспекцией документации по хранению подтверждают срок не менее 1 года по ГОСТ 15150. Проверка условий консервации не формируется, поскольку они не заданы.</w:t>
      </w:r>
    </w:p>
    <w:p>
      <w:pPr>
        <w:pStyle w:val="Heading1"/>
      </w:pPr>
      <w:r>
        <w:t>8 Специальные требования</w:t>
      </w:r>
    </w:p>
    <w:p>
      <w:pPr/>
      <w:r>
        <w:t>8.1 Телеметрия РМО на C++/Qt должна предоставлять мнемосхему восьми портов, LOS/LOF/AIS/RAI, счётчики G.826, выбранный SAToP/CESoPSN и источник тактирования.</w:t>
      </w:r>
    </w:p>
    <w:p>
      <w:pPr/>
      <w:r>
        <w:t>8.2 РМО должно предоставлять команды включения/отключения портов, изменения джиттер-буфера, включения диагностических петель и PRBS.</w:t>
      </w:r>
    </w:p>
    <w:p>
      <w:pPr>
        <w:pStyle w:val="Note"/>
      </w:pPr>
      <w:r>
        <w:t>Проверка. Функциональным тестированием РМО на C++/Qt проверяют отображение каждого из восьми портов, всех перечисленных состояний и параметров, а также выполнение всех команд 8.2. Результаты команд проверяют на изделии по соответствующим требованиям 3.2.4 и 3.2.9. Порядок доступа и иные параметры РМО, не заданные исходными данными, в настоящем ТЗ не устанавливаются.</w:t>
      </w:r>
    </w:p>
    <w:p>
      <w:pPr>
        <w:pStyle w:val="Heading1"/>
        <w:pageBreakBefore/>
      </w:pPr>
      <w:r>
        <w:t>ПОДПИСИ РАЗРАБОТЧИКОВ И СОГЛАСОВАНИЕ</w:t>
      </w:r>
    </w:p>
    <w:p>
      <w:pPr/>
      <w:r>
        <w:t>Последний лист ТЗ на составную часть ОКР оформлен в соответствии с применимой частью ГОСТ 15.016-2016 (7.1.3; аналогично форме 2 приложения А).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360"/>
      </w:tblGrid>
      <w:tr/>
      <w:tr>
        <w:tc>
          <w:tcPr>
            <w:tcW w:w="9360" w:type="dxa"/>
          </w:tcPr>
          <w:p>
            <w:pPr/>
            <w:r>
              <w:t>ООО «тушканчик»</w:t>
            </w:r>
            <w:br/>
            <w:r>
              <w:t>Должность разработчика ТЗ: [уточнить]</w:t>
            </w:r>
            <w:br/>
            <w:br/>
            <w:r>
              <w:t>Подпись: —     Инициалы, фамилия: [уточнить]</w:t>
            </w:r>
            <w:br/>
            <w:r>
              <w:t>Дата: [уточнить]</w:t>
            </w:r>
          </w:p>
        </w:tc>
      </w:tr>
    </w:tbl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360"/>
      </w:tblGrid>
      <w:tr/>
      <w:tr>
        <w:tc>
          <w:tcPr>
            <w:tcW w:w="9360" w:type="dxa"/>
          </w:tcPr>
          <w:p>
            <w:pPr/>
            <w:r>
              <w:t>СОГЛАСОВАНО</w:t>
            </w:r>
            <w:br/>
            <w:r>
              <w:t>Головной исполнитель ОКР: [уточнить]</w:t>
            </w:r>
            <w:br/>
            <w:r>
              <w:t>Должность: [уточнить]</w:t>
            </w:r>
            <w:br/>
            <w:br/>
            <w:r>
              <w:t>Подпись: —     Инициалы, фамилия: [уточнить]</w:t>
            </w:r>
            <w:br/>
            <w:r>
              <w:t>Дата: [уточнить]</w:t>
            </w:r>
          </w:p>
        </w:tc>
      </w:tr>
    </w:tbl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360"/>
      </w:tblGrid>
      <w:tr/>
      <w:tr>
        <w:tc>
          <w:tcPr>
            <w:tcW w:w="9360" w:type="dxa"/>
          </w:tcPr>
          <w:p>
            <w:pPr/>
            <w:r>
              <w:t>СОГЛАСОВАНО</w:t>
            </w:r>
            <w:br/>
            <w:r>
              <w:t>Другие согласующие организации и службы: [уточнить]</w:t>
            </w:r>
            <w:br/>
            <w:r>
              <w:t>Должность: [уточнить]</w:t>
            </w:r>
            <w:br/>
            <w:br/>
            <w:r>
              <w:t>Подпись: —     Инициалы, фамилия: [уточнить]</w:t>
            </w:r>
            <w:br/>
            <w:r>
              <w:t>Дата: [уточнить]</w:t>
            </w:r>
          </w:p>
        </w:tc>
      </w:tr>
    </w:tbl>
    <w:sectPr>
      <w:headerReference xmlns:r="http://schemas.openxmlformats.org/officeDocument/2006/relationships" w:type="default" r:id="rId2"/>
      <w:pgSz w:w="11906" w:h="16838"/>
      <w:pgMar w:top="1020" w:right="850" w:bottom="1020" w:left="1417" w:header="720" w:footer="720" w:gutter="0"/>
    </w:sectPr>
  </w:body>
</w:document>
</file>

<file path=word/header1.xml><?xml version="1.0" encoding="utf-8"?>
<w:hdr xmlns:w="http://schemas.openxmlformats.org/wordprocessingml/2006/main">
  <w:p>
    <w:pPr>
      <w:jc w:val="right"/>
    </w:pPr>
    <w:r>
      <w:fldChar w:fldCharType="begin"/>
    </w:r>
    <w:r>
      <w:instrText> PAGE </w:instrText>
    </w:r>
    <w:r>
      <w:fldChar w:fldCharType="end"/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</w:docDefaults>
  <w:style w:type="paragraph" w:default="1" w:styleId="Normal">
    <w:name w:val="Normal"/>
    <w:qFormat/>
    <w:pPr>
      <w:jc w:val="both"/>
      <w:spacing w:after="100" w:line="276" w:lineRule="auto"/>
    </w:pPr>
  </w:style>
  <w:style w:type="paragraph" w:styleId="Heading1">
    <w:name w:val="heading 1"/>
    <w:basedOn w:val="Normal"/>
    <w:qFormat/>
    <w:pPr>
      <w:jc w:val="center"/>
      <w:spacing w:before="240" w:after="160"/>
    </w:pPr>
    <w:rPr>
      <w:b/>
      <w:sz w:val="28"/>
    </w:rPr>
  </w:style>
  <w:style w:type="paragraph" w:styleId="Heading2">
    <w:name w:val="heading 2"/>
    <w:basedOn w:val="Normal"/>
    <w:qFormat/>
    <w:pPr>
      <w:spacing w:before="180" w:after="100"/>
    </w:pPr>
    <w:rPr>
      <w:b/>
      <w:sz w:val="24"/>
    </w:rPr>
  </w:style>
  <w:style w:type="paragraph" w:styleId="Heading3">
    <w:name w:val="heading 3"/>
    <w:basedOn w:val="Normal"/>
    <w:qFormat/>
    <w:rPr>
      <w:b/>
    </w:rPr>
  </w:style>
  <w:style w:type="paragraph" w:styleId="Title">
    <w:name w:val="Title"/>
    <w:basedOn w:val="Normal"/>
    <w:pPr>
      <w:jc w:val="center"/>
      <w:spacing w:before="2000" w:after="180"/>
    </w:pPr>
    <w:rPr>
      <w:b/>
      <w:sz w:val="32"/>
    </w:rPr>
  </w:style>
  <w:style w:type="paragraph" w:styleId="Subtitle">
    <w:name w:val="Subtitle"/>
    <w:basedOn w:val="Normal"/>
    <w:pPr>
      <w:jc w:val="center"/>
    </w:pPr>
    <w:rPr>
      <w:b/>
      <w:sz w:val="24"/>
    </w:rPr>
  </w:style>
  <w:style w:type="paragraph" w:styleId="Note">
    <w:name w:val="Note"/>
    <w:basedOn w:val="Normal"/>
    <w:rPr>
      <w:i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/Relationships>
</file>