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СОГЛАСОВАНО　　　　　　　　　СОГЛАСОВАНО　　　　　　　　　УТВЕРЖДАЮ</w:t>
      </w:r>
    </w:p>
    <w:p>
      <w:pPr>
        <w:pStyle w:val="Normal"/>
      </w:pPr>
      <w:r>
        <w:t xml:space="preserve">должность, заказчик (НИО заказчика)
подпись, инициалы, фамилия
«____» ____________ 20__ г.</w:t>
      </w:r>
    </w:p>
    <w:p>
      <w:pPr>
        <w:pStyle w:val="Normal"/>
      </w:pPr>
      <w:r>
        <w:t xml:space="preserve">должность, исполнитель составной части ОКР
подпись, инициалы, фамилия
«____» ____________ 20__ г.</w:t>
      </w:r>
    </w:p>
    <w:p>
      <w:pPr>
        <w:pStyle w:val="Normal"/>
      </w:pPr>
      <w:r>
        <w:t xml:space="preserve">должность, головной исполнитель ОКР
подпись, инициалы, фамилия
«____» ____________ 20__ г.</w:t>
      </w:r>
    </w:p>
    <w:p>
      <w:pPr>
        <w:pStyle w:val="Normal"/>
      </w:pPr>
      <w:r>
        <w:t xml:space="preserve">СОГЛАСОВАНО
должность, исполнитель составной части ОКР
подпись, инициалы, фамилия
«____» ____________ 20__ г.</w:t>
      </w:r>
    </w:p>
    <w:p>
      <w:pPr>
        <w:pStyle w:val="Normal"/>
      </w:pPr>
      <w:r>
        <w:t xml:space="preserve">ТЕХНИЧЕСКОЕ ЗАДАНИЕ
НА СОСТАВНУЮ ЧАСТЬ ОПЫТНО-КОНСТРУКТОРСКОЙ РАБОТЫ</w:t>
      </w:r>
    </w:p>
    <w:p>
      <w:pPr>
        <w:pStyle w:val="Normal"/>
      </w:pPr>
      <w:r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pStyle w:val="Normal"/>
      </w:pPr>
      <w:r>
        <w:t xml:space="preserve">Шифр ОКР: «Развитие-ТСА»
Обозначение составной части изделия: [уточнить]</w:t>
      </w:r>
    </w:p>
    <w:p>
      <w:pPr>
        <w:pStyle w:val="Normal"/>
      </w:pPr>
      <w:r>
        <w:br w:type="page"/>
      </w:r>
    </w:p>
    <w:p>
      <w:pPr>
        <w:pStyle w:val="Heading1"/>
      </w:pPr>
      <w:r>
        <w:rPr>
          <w:b/>
        </w:rPr>
        <w:t xml:space="preserve">ЛИСТ СОГЛАСОВАНИЯ</w:t>
      </w:r>
    </w:p>
    <w:p>
      <w:pPr>
        <w:pStyle w:val="Normal"/>
      </w:pPr>
      <w:r>
        <w:t xml:space="preserve">Реквизиты согласующих лиц и даты подлежат заполнению при согласовании; условные поля не являются подтверждёнными сведениями.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Организация / роль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Должность, ФИО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r>
              <w:t xml:space="preserve">Заказчик (или НИО заказчика)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Исполнитель составной части ОКР</w:t>
            </w:r>
          </w:p>
        </w:tc>
        <w:tc>
          <w:tcPr>
            <w:tcW w:w="2400" w:type="dxa"/>
          </w:tcPr>
          <w:p>
            <w:r>
              <w:t xml:space="preserve">ООО «тушканчик»; 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Головной исполнитель ОКР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Другие согласующие организации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</w:tbl>
    <w:p>
      <w:pPr>
        <w:pStyle w:val="Normal"/>
      </w:pPr>
      <w:r>
        <w:t xml:space="preserve">По ГОСТ 15.016-2016 (7.2.1–7.2.4) ТЗ согласовывает и утверждает головной исполнитель ОКР; обязательны согласования с заказчиком (либо НИО заказчика по его решению) и исполнителем СЧ ОКР.</w:t>
      </w:r>
    </w:p>
    <w:p>
      <w:pPr>
        <w:pStyle w:val="Normal"/>
      </w:pPr>
      <w:r>
        <w:br w:type="page"/>
      </w:r>
    </w:p>
    <w:p>
      <w:pPr>
        <w:pStyle w:val="Heading1"/>
      </w:pPr>
      <w:r>
        <w:rPr>
          <w:b/>
        </w:rPr>
        <w:t xml:space="preserve">ПЕРЕЧЕНЬ ОБОЗНАЧЕНИЙ И СОКРАЩЕНИЙ</w:t>
      </w:r>
    </w:p>
    <w:p>
      <w:pPr>
        <w:pStyle w:val="Normal"/>
      </w:pPr>
      <w:r>
        <w:t xml:space="preserve">Значения приведены только по исходным данным; отсутствующие официальные расшифровки обозначены конкретным полем уточнения.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Обозначение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Значение в настоящем ТЗ</w:t>
            </w:r>
          </w:p>
        </w:tc>
      </w:tr>
      <w:tr>
        <w:tc>
          <w:tcPr>
            <w:tcW w:w="2400" w:type="dxa"/>
          </w:tcPr>
          <w:p>
            <w:r>
              <w:t xml:space="preserve">AMC</w:t>
            </w:r>
          </w:p>
        </w:tc>
        <w:tc>
          <w:tcPr>
            <w:tcW w:w="2400" w:type="dxa"/>
          </w:tcPr>
          <w:p>
            <w:r>
              <w:t xml:space="preserve">универсальный базовый модуль; официальная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ПЛИС</w:t>
            </w:r>
          </w:p>
        </w:tc>
        <w:tc>
          <w:tcPr>
            <w:tcW w:w="2400" w:type="dxa"/>
          </w:tcPr>
          <w:p>
            <w:r>
              <w:t xml:space="preserve">логическая часть изделия;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B2B</w:t>
            </w:r>
          </w:p>
        </w:tc>
        <w:tc>
          <w:tcPr>
            <w:tcW w:w="2400" w:type="dxa"/>
          </w:tcPr>
          <w:p>
            <w:r>
              <w:t xml:space="preserve">межплатное соединение;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Board ID</w:t>
            </w:r>
          </w:p>
        </w:tc>
        <w:tc>
          <w:tcPr>
            <w:tcW w:w="2400" w:type="dxa"/>
          </w:tcPr>
          <w:p>
            <w:r>
              <w:t xml:space="preserve">идентификатор платы; EEPROM: 0x03</w:t>
            </w:r>
          </w:p>
        </w:tc>
      </w:tr>
      <w:tr>
        <w:tc>
          <w:tcPr>
            <w:tcW w:w="2400" w:type="dxa"/>
          </w:tcPr>
          <w:p>
            <w:r>
              <w:t xml:space="preserve">MMC</w:t>
            </w:r>
          </w:p>
        </w:tc>
        <w:tc>
          <w:tcPr>
            <w:tcW w:w="2400" w:type="dxa"/>
          </w:tcPr>
          <w:p>
            <w:r>
              <w:t xml:space="preserve">интерфейс базовой платы;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РМО</w:t>
            </w:r>
          </w:p>
        </w:tc>
        <w:tc>
          <w:tcPr>
            <w:tcW w:w="2400" w:type="dxa"/>
          </w:tcPr>
          <w:p>
            <w:r>
              <w:t xml:space="preserve">система/рабочее место оператора;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ОКР</w:t>
            </w:r>
          </w:p>
        </w:tc>
        <w:tc>
          <w:tcPr>
            <w:tcW w:w="2400" w:type="dxa"/>
          </w:tcPr>
          <w:p>
            <w:r>
              <w:t xml:space="preserve">опытно-конструкторская работа</w:t>
            </w:r>
          </w:p>
        </w:tc>
      </w:tr>
      <w:tr>
        <w:tc>
          <w:tcPr>
            <w:tcW w:w="2400" w:type="dxa"/>
          </w:tcPr>
          <w:p>
            <w:r>
              <w:t xml:space="preserve">РКД</w:t>
            </w:r>
          </w:p>
        </w:tc>
        <w:tc>
          <w:tcPr>
            <w:tcW w:w="2400" w:type="dxa"/>
          </w:tcPr>
          <w:p>
            <w:r>
              <w:t xml:space="preserve">конструкторская документация;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ПМИ</w:t>
            </w:r>
          </w:p>
        </w:tc>
        <w:tc>
          <w:tcPr>
            <w:tcW w:w="2400" w:type="dxa"/>
          </w:tcPr>
          <w:p>
            <w:r>
              <w:t xml:space="preserve">программа и методика испытаний;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PDH</w:t>
            </w:r>
          </w:p>
        </w:tc>
        <w:tc>
          <w:tcPr>
            <w:tcW w:w="2400" w:type="dxa"/>
          </w:tcPr>
          <w:p>
            <w:r>
              <w:t xml:space="preserve">функциональный модуль и тракты 8/34 Мбит/с;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E2/E3</w:t>
            </w:r>
          </w:p>
        </w:tc>
        <w:tc>
          <w:tcPr>
            <w:tcW w:w="2400" w:type="dxa"/>
          </w:tcPr>
          <w:p>
            <w:r>
              <w:t xml:space="preserve">потоки PDH 8 и 34 Мбит/с</w:t>
            </w:r>
          </w:p>
        </w:tc>
      </w:tr>
      <w:tr>
        <w:tc>
          <w:tcPr>
            <w:tcW w:w="2400" w:type="dxa"/>
          </w:tcPr>
          <w:p>
            <w:r>
              <w:t xml:space="preserve">SAToP/E2oP</w:t>
            </w:r>
          </w:p>
        </w:tc>
        <w:tc>
          <w:tcPr>
            <w:tcW w:w="2400" w:type="dxa"/>
          </w:tcPr>
          <w:p>
            <w:r>
              <w:t xml:space="preserve">режимы пакетной передачи; расшифровки: [уточнить]</w:t>
            </w:r>
          </w:p>
        </w:tc>
      </w:tr>
      <w:tr>
        <w:tc>
          <w:tcPr>
            <w:tcW w:w="2400" w:type="dxa"/>
          </w:tcPr>
          <w:p>
            <w:r>
              <w:t xml:space="preserve">TDM-over-Packet</w:t>
            </w:r>
          </w:p>
        </w:tc>
        <w:tc>
          <w:tcPr>
            <w:tcW w:w="2400" w:type="dxa"/>
          </w:tcPr>
          <w:p>
            <w:r>
              <w:t xml:space="preserve">передача TDM по пакетной сети</w:t>
            </w:r>
          </w:p>
        </w:tc>
      </w:tr>
      <w:tr>
        <w:tc>
          <w:tcPr>
            <w:tcW w:w="2400" w:type="dxa"/>
          </w:tcPr>
          <w:p>
            <w:r>
              <w:t xml:space="preserve">AIS/LOS</w:t>
            </w:r>
          </w:p>
        </w:tc>
        <w:tc>
          <w:tcPr>
            <w:tcW w:w="2400" w:type="dxa"/>
          </w:tcPr>
          <w:p>
            <w:r>
              <w:t xml:space="preserve">аварийные состояния/потеря сигнала; расшифровки: [уточнить]</w:t>
            </w:r>
          </w:p>
        </w:tc>
      </w:tr>
      <w:tr>
        <w:tc>
          <w:tcPr>
            <w:tcW w:w="2400" w:type="dxa"/>
          </w:tcPr>
          <w:p>
            <w:r>
              <w:t xml:space="preserve">BPV/CV HDB3</w:t>
            </w:r>
          </w:p>
        </w:tc>
        <w:tc>
          <w:tcPr>
            <w:tcW w:w="2400" w:type="dxa"/>
          </w:tcPr>
          <w:p>
            <w:r>
              <w:t xml:space="preserve">контроль нарушений/ошибок HDB3;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PRBS/BER</w:t>
            </w:r>
          </w:p>
        </w:tc>
        <w:tc>
          <w:tcPr>
            <w:tcW w:w="2400" w:type="dxa"/>
          </w:tcPr>
          <w:p>
            <w:r>
              <w:t xml:space="preserve">тестовая последовательность 2^23−1 и битовая ошибка; расшифровки: [уточнить]</w:t>
            </w:r>
          </w:p>
        </w:tc>
      </w:tr>
      <w:tr>
        <w:tc>
          <w:tcPr>
            <w:tcW w:w="2400" w:type="dxa"/>
          </w:tcPr>
          <w:p>
            <w:r>
              <w:t xml:space="preserve">TCLK/RX_CLK</w:t>
            </w:r>
          </w:p>
        </w:tc>
        <w:tc>
          <w:tcPr>
            <w:tcW w:w="2400" w:type="dxa"/>
          </w:tcPr>
          <w:p>
            <w:r>
              <w:t xml:space="preserve">тактовые сигналы изделия</w:t>
            </w:r>
          </w:p>
        </w:tc>
      </w:tr>
      <w:tr>
        <w:tc>
          <w:tcPr>
            <w:tcW w:w="2400" w:type="dxa"/>
          </w:tcPr>
          <w:p>
            <w:r>
              <w:t xml:space="preserve">ACR/DCR/DPLL</w:t>
            </w:r>
          </w:p>
        </w:tc>
        <w:tc>
          <w:tcPr>
            <w:tcW w:w="2400" w:type="dxa"/>
          </w:tcPr>
          <w:p>
            <w:r>
              <w:t xml:space="preserve">режимы и узел тактирования; расшифровки: [уточнить]</w:t>
            </w:r>
          </w:p>
        </w:tc>
      </w:tr>
      <w:tr>
        <w:tc>
          <w:tcPr>
            <w:tcW w:w="2400" w:type="dxa"/>
          </w:tcPr>
          <w:p>
            <w:r>
              <w:t xml:space="preserve">MTBF</w:t>
            </w:r>
          </w:p>
        </w:tc>
        <w:tc>
          <w:tcPr>
            <w:tcW w:w="2400" w:type="dxa"/>
          </w:tcPr>
          <w:p>
            <w:r>
              <w:t xml:space="preserve">наработка на отказ;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MIB</w:t>
            </w:r>
          </w:p>
        </w:tc>
        <w:tc>
          <w:tcPr>
            <w:tcW w:w="2400" w:type="dxa"/>
          </w:tcPr>
          <w:p>
            <w:r>
              <w:t xml:space="preserve">информационная база управления; расшифровка: [уточнить]</w:t>
            </w:r>
          </w:p>
        </w:tc>
      </w:tr>
      <w:tr>
        <w:tc>
          <w:tcPr>
            <w:tcW w:w="2400" w:type="dxa"/>
          </w:tcPr>
          <w:p>
            <w:r>
              <w:t xml:space="preserve">ESD</w:t>
            </w:r>
          </w:p>
        </w:tc>
        <w:tc>
          <w:tcPr>
            <w:tcW w:w="2400" w:type="dxa"/>
          </w:tcPr>
          <w:p>
            <w:r>
              <w:t xml:space="preserve">защита от электростатического разряда; расшифровка: [уточнить]</w:t>
            </w:r>
          </w:p>
        </w:tc>
      </w:tr>
    </w:tbl>
    <w:p>
      <w:pPr>
        <w:pStyle w:val="Normal"/>
      </w:pPr>
      <w:r>
        <w:br w:type="page"/>
      </w:r>
    </w:p>
    <w:p>
      <w:pPr>
        <w:pStyle w:val="Heading1"/>
      </w:pPr>
      <w:r>
        <w:rPr>
          <w:b/>
        </w:rPr>
        <w:t xml:space="preserve">ПЕРЕЧЕНЬ ПРИМЕНИМЫХ НОРМАТИВНЫХ И СПРАВОЧНЫХ ДОКУМЕНТОВ</w:t>
      </w:r>
    </w:p>
    <w:p>
      <w:pPr>
        <w:pStyle w:val="Normal"/>
      </w:pPr>
      <w:r>
        <w:t xml:space="preserve">• ГОСТ 15.016-2016 — ТЗ на ОКР и составную часть ОКР (разделы 6.1, 6.2, 7.1, 7.2).</w:t>
      </w:r>
    </w:p>
    <w:p>
      <w:pPr>
        <w:pStyle w:val="Normal"/>
      </w:pPr>
      <w:r>
        <w:t xml:space="preserve">• ITU-T G.703</w:t>
      </w:r>
    </w:p>
    <w:p>
      <w:pPr>
        <w:pStyle w:val="Normal"/>
      </w:pPr>
      <w:r>
        <w:t xml:space="preserve">• ITU-T G.704</w:t>
      </w:r>
    </w:p>
    <w:p>
      <w:pPr>
        <w:pStyle w:val="Normal"/>
      </w:pPr>
      <w:r>
        <w:t xml:space="preserve">• ITU-T G.751</w:t>
      </w:r>
    </w:p>
    <w:p>
      <w:pPr>
        <w:pStyle w:val="Normal"/>
      </w:pPr>
      <w:r>
        <w:t xml:space="preserve">• ITU-T G.823</w:t>
      </w:r>
    </w:p>
    <w:p>
      <w:pPr>
        <w:pStyle w:val="Normal"/>
      </w:pPr>
      <w:r>
        <w:t xml:space="preserve">• RFC 4553</w:t>
      </w:r>
    </w:p>
    <w:p>
      <w:pPr>
        <w:pStyle w:val="Normal"/>
      </w:pPr>
      <w:r>
        <w:t xml:space="preserve">• PICMG AMC.0 R2.0</w:t>
      </w:r>
    </w:p>
    <w:p>
      <w:pPr>
        <w:pStyle w:val="Normal"/>
      </w:pPr>
      <w:r>
        <w:t xml:space="preserve">• ГОСТ РВ 20.39.304-98</w:t>
      </w:r>
    </w:p>
    <w:p>
      <w:pPr>
        <w:pStyle w:val="Normal"/>
      </w:pPr>
      <w:r>
        <w:t xml:space="preserve">• ГОСТ В 25803-91</w:t>
      </w:r>
    </w:p>
    <w:p>
      <w:pPr>
        <w:pStyle w:val="Normal"/>
      </w:pPr>
      <w:r>
        <w:t xml:space="preserve">• ГОСТ 2.114-2016</w:t>
      </w:r>
    </w:p>
    <w:p>
      <w:pPr>
        <w:pStyle w:val="Normal"/>
      </w:pPr>
      <w:r>
        <w:t xml:space="preserve">• ГОСТ РВ 15.201-2003</w:t>
      </w:r>
    </w:p>
    <w:p>
      <w:pPr>
        <w:pStyle w:val="Normal"/>
      </w:pPr>
      <w:r>
        <w:t xml:space="preserve">• ГОСТ 15150</w:t>
      </w:r>
    </w:p>
    <w:p>
      <w:pPr>
        <w:pStyle w:val="Normal"/>
      </w:pPr>
      <w:r>
        <w:t xml:space="preserve">Редакции документов, кроме прямо указанных в исходных данных, не уточняются настоящим ТЗ.</w:t>
      </w:r>
    </w:p>
    <w:p>
      <w:pPr>
        <w:pStyle w:val="Heading1"/>
      </w:pPr>
      <w:r>
        <w:rPr>
          <w:b/>
        </w:rPr>
        <w:t xml:space="preserve">1. Наименование, шифр, основание, исполнители и сроки ОКР</w:t>
      </w:r>
    </w:p>
    <w:p>
      <w:pPr>
        <w:pStyle w:val="Normal"/>
      </w:pPr>
      <w:r>
        <w:t xml:space="preserve">Указать разработку субплаты E2/E3 и функционального модуля PDH для AMC ДММП; шифр ОКР «Развитие-ТСА». Основание — приказ об открытии инициативной ОКР № `[уточнить]` от `[уточнить]`. Исполнитель — ООО «тушканчик» (условное наименование из исходных данных). Сроки связать с утверждённым планом-графиком РКД, программной документации, изготовления образцов и испытаний; даты не заданы.</w:t>
      </w:r>
    </w:p>
    <w:p>
      <w:pPr>
        <w:pStyle w:val="Normal"/>
      </w:pPr>
      <w:r>
        <w:t xml:space="preserve">Проверка раздела 1: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2. Цель выполнения, наименование, назначение и область применения изделия</w:t>
      </w:r>
    </w:p>
    <w:p>
      <w:pPr>
        <w:pStyle w:val="Normal"/>
      </w:pPr>
      <w:r>
        <w:t xml:space="preserve">Описать назначение и область применения из раздела «Цель». Разделить аппаратную часть (субплата, интерфейсы, защита, трансиверы, EEPROM) и логическую часть (функциональный модуль ПЛИС базовой платы, автоматически активируемый по Board ID). Указать установку AMC на Carrier платформы ДММП.</w:t>
      </w:r>
    </w:p>
    <w:p>
      <w:pPr>
        <w:pStyle w:val="Normal"/>
      </w:pPr>
      <w:r>
        <w:t xml:space="preserve">Проверка раздела 2: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3. Технические требования к изделию</w:t>
      </w:r>
    </w:p>
    <w:p>
      <w:pPr>
        <w:pStyle w:val="Heading2"/>
      </w:pPr>
      <w:r>
        <w:rPr>
          <w:b/>
        </w:rPr>
        <w:t xml:space="preserve">3.1. Архитектура, разъёмы и кабели</w:t>
      </w:r>
    </w:p>
    <w:p>
      <w:pPr>
        <w:pStyle w:val="Normal"/>
      </w:pPr>
      <w:r>
        <w:t xml:space="preserve">• Субплата через B2B: 3 экранированных вибростойких HARTING PushPull 09452812560 с замковой фиксацией, тракты 75 Ом, ВЧ-трансформаторы, LIU, EEPROM Board ID `0x03`, светодиоды. Базовая плата предоставляет +12 В/+3,3 В, MMC, тактирование и автоматически загружает bitstream PDH из Flash.</w:t>
      </w:r>
    </w:p>
    <w:p>
      <w:pPr>
        <w:pStyle w:val="Normal"/>
      </w:pPr>
      <w:r>
        <w:t xml:space="preserve">• E2-1, E2-2 и E3-1: каждый разъём обслуживает отдельные TX/RX коаксиальные цепи 75 Ом. В комплект и РКД включить экранированные адаптеры HARTING PushPull → две вилки BNC 75 Ом / DIN 1.0/2.3 с маркировкой TX/RX. BNC 50 Ом запрещены по импедансу и габаритам.</w:t>
      </w:r>
    </w:p>
    <w:p>
      <w:pPr>
        <w:pStyle w:val="Heading2"/>
      </w:pPr>
      <w:r>
        <w:rPr>
          <w:b/>
        </w:rPr>
        <w:t xml:space="preserve">3.2. Электрические параметры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E2 (два порта)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2400" w:type="dxa"/>
          </w:tcPr>
          <w:p>
            <w:r>
              <w:t xml:space="preserve">Скорость</w:t>
            </w:r>
          </w:p>
        </w:tc>
        <w:tc>
          <w:tcPr>
            <w:tcW w:w="2400" w:type="dxa"/>
          </w:tcPr>
          <w:p>
            <w:r>
              <w:t xml:space="preserve">8448 кбит/с (8,448 Мбит/с) ±30 ppm</w:t>
            </w:r>
          </w:p>
        </w:tc>
        <w:tc>
          <w:tcPr>
            <w:tcW w:w="2400" w:type="dxa"/>
          </w:tcPr>
          <w:p>
            <w:r>
              <w:t xml:space="preserve">34 368 кбит/с (34,368 Мбит/с) ±20 ppm</w:t>
            </w:r>
          </w:p>
        </w:tc>
      </w:tr>
      <w:tr>
        <w:tc>
          <w:tcPr>
            <w:tcW w:w="2400" w:type="dxa"/>
          </w:tcPr>
          <w:p>
            <w:r>
              <w:t xml:space="preserve">Код и сопротивление</w:t>
            </w:r>
          </w:p>
        </w:tc>
        <w:tc>
          <w:tcPr>
            <w:tcW w:w="2400" w:type="dxa"/>
          </w:tcPr>
          <w:p>
            <w:r>
              <w:t xml:space="preserve">HDB3, 75 Ом</w:t>
            </w:r>
          </w:p>
        </w:tc>
        <w:tc>
          <w:tcPr>
            <w:tcW w:w="2400" w:type="dxa"/>
          </w:tcPr>
          <w:p>
            <w:r>
              <w:t xml:space="preserve">HDB3, 75 Ом</w:t>
            </w:r>
          </w:p>
        </w:tc>
      </w:tr>
      <w:tr>
        <w:tc>
          <w:tcPr>
            <w:tcW w:w="2400" w:type="dxa"/>
          </w:tcPr>
          <w:p>
            <w:r>
              <w:t xml:space="preserve">Пиковое напряжение / длительность</w:t>
            </w:r>
          </w:p>
        </w:tc>
        <w:tc>
          <w:tcPr>
            <w:tcW w:w="2400" w:type="dxa"/>
          </w:tcPr>
          <w:p>
            <w:r>
              <w:t xml:space="preserve">2,37 В / 59 нс</w:t>
            </w:r>
          </w:p>
        </w:tc>
        <w:tc>
          <w:tcPr>
            <w:tcW w:w="2400" w:type="dxa"/>
          </w:tcPr>
          <w:p>
            <w:r>
              <w:t xml:space="preserve">1,0 В / 14,55 нс</w:t>
            </w:r>
          </w:p>
        </w:tc>
      </w:tr>
      <w:tr>
        <w:tc>
          <w:tcPr>
            <w:tcW w:w="2400" w:type="dxa"/>
          </w:tcPr>
          <w:p>
            <w:r>
              <w:t xml:space="preserve">Возвратные потери входа/выхода</w:t>
            </w:r>
          </w:p>
        </w:tc>
        <w:tc>
          <w:tcPr>
            <w:tcW w:w="2400" w:type="dxa"/>
          </w:tcPr>
          <w:p>
            <w:r>
              <w:t xml:space="preserve">≥18 дБ, 422–8448 кГц</w:t>
            </w:r>
          </w:p>
        </w:tc>
        <w:tc>
          <w:tcPr>
            <w:tcW w:w="2400" w:type="dxa"/>
          </w:tcPr>
          <w:p>
            <w:r>
              <w:t xml:space="preserve">≥18 дБ, 1720–34 368 кГц</w:t>
            </w:r>
          </w:p>
        </w:tc>
      </w:tr>
      <w:tr>
        <w:tc>
          <w:tcPr>
            <w:tcW w:w="2400" w:type="dxa"/>
          </w:tcPr>
          <w:p>
            <w:r>
              <w:t xml:space="preserve">Допустимое затухание кабеля</w:t>
            </w:r>
          </w:p>
        </w:tc>
        <w:tc>
          <w:tcPr>
            <w:tcW w:w="2400" w:type="dxa"/>
          </w:tcPr>
          <w:p>
            <w:r>
              <w:t xml:space="preserve">до 6 дБ на 4224 кГц</w:t>
            </w:r>
          </w:p>
        </w:tc>
        <w:tc>
          <w:tcPr>
            <w:tcW w:w="2400" w:type="dxa"/>
          </w:tcPr>
          <w:p>
            <w:r>
              <w:t xml:space="preserve">до 12 дБ на 17 184 кГц</w:t>
            </w:r>
          </w:p>
        </w:tc>
      </w:tr>
    </w:tbl>
    <w:p>
      <w:pPr>
        <w:pStyle w:val="Normal"/>
      </w:pPr>
      <w:r>
        <w:t xml:space="preserve">Предусмотреть трансформаторную гальваноразвязку и импульсную защиту каждого порта. Структура E2 — G.704, E3 — G.751, электрические параметры — G.703.</w:t>
      </w:r>
    </w:p>
    <w:p>
      <w:pPr>
        <w:pStyle w:val="Heading2"/>
      </w:pPr>
      <w:r>
        <w:rPr>
          <w:b/>
        </w:rPr>
        <w:t xml:space="preserve">3.3. Пакетная передача, синхронизация и диагностика</w:t>
      </w:r>
    </w:p>
    <w:p>
      <w:pPr>
        <w:pStyle w:val="Normal"/>
      </w:pPr>
      <w:r>
        <w:t xml:space="preserve">• E3: SAToP по RFC 4553, полный поток с управляющим словом и контролем последовательности. E2: E2oP на архитектуре SAToP, полный поток с минимальной фиксированной задержкой. Fabric 10GbE, Strict Priority QoS; джиттер-буфер каждого сервиса 1–64 мс. Потеря пакетов/авария сети вызывает непрерывный AIS на выходе.</w:t>
      </w:r>
    </w:p>
    <w:p>
      <w:pPr>
        <w:pStyle w:val="Normal"/>
      </w:pPr>
      <w:r>
        <w:t xml:space="preserve">• Тактирование: пересчёт TCLK 19,44 МГц в 8,448/34,368 МГц; ACR/DCR; Holdover; Loop timing. Частоту любого входного порта выдавать в `RX_CLK`, ПЛИС/DPLL базовой платы преобразует её в 19,44 МГц для TCLK. Джиттер/вандер — G.823.</w:t>
      </w:r>
    </w:p>
    <w:p>
      <w:pPr>
        <w:pStyle w:val="Normal"/>
      </w:pPr>
      <w:r>
        <w:t xml:space="preserve">• Контроль LOS, AIS, BPV/CV HDB3, переполнения/опустошения буфера. Для каждого порта Local Line, Payload и Packet Loopback; генератор/анализатор PRBS 2^23−1 для измерения BER.</w:t>
      </w:r>
    </w:p>
    <w:p>
      <w:pPr>
        <w:pStyle w:val="Normal"/>
      </w:pPr>
      <w:r>
        <w:t xml:space="preserve">• Мощность субплаты ≤15 Вт, сборки ≤35 Вт.</w:t>
      </w:r>
    </w:p>
    <w:p>
      <w:pPr>
        <w:pStyle w:val="Normal"/>
      </w:pPr>
      <w:r>
        <w:t xml:space="preserve">• Конструкция: Single Full-size AMC.0, 73,5 × 180,6 × 28,95 мм; межплатное крепление на 4–6 металлических стойках М2,5.</w:t>
      </w:r>
    </w:p>
    <w:p>
      <w:pPr>
        <w:pStyle w:val="Normal"/>
      </w:pPr>
      <w:r>
        <w:t xml:space="preserve">• 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>
        <w:pStyle w:val="Normal"/>
      </w:pPr>
      <w:r>
        <w:t xml:space="preserve">• MTBF — не менее 15 000 ч; назначенный срок службы — не менее 5 лет.</w:t>
      </w:r>
    </w:p>
    <w:p>
      <w:pPr>
        <w:pStyle w:val="Normal"/>
      </w:pPr>
      <w:r>
        <w:t xml:space="preserve">Проверка раздела 3: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4. Технико-экономические требования</w:t>
      </w:r>
    </w:p>
    <w:p>
      <w:pPr>
        <w:pStyle w:val="Normal"/>
      </w:pPr>
      <w:r>
        <w:t xml:space="preserve">Указать, что требования не предъявляются.</w:t>
      </w:r>
    </w:p>
    <w:p>
      <w:pPr>
        <w:pStyle w:val="Normal"/>
      </w:pPr>
      <w:r>
        <w:t xml:space="preserve">Проверка раздела 4: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5. Требования к видам обеспечения</w:t>
      </w:r>
    </w:p>
    <w:p>
      <w:pPr>
        <w:pStyle w:val="Normal"/>
      </w:pPr>
      <w:r>
        <w:t xml:space="preserve">• Нормативное: перечисленные применимые документы.</w:t>
      </w:r>
    </w:p>
    <w:p>
      <w:pPr>
        <w:pStyle w:val="Normal"/>
      </w:pPr>
      <w:r>
        <w:t xml:space="preserve">• Метрологическое: предусмотреть средства и методики измерения формы и амплитуды импульсов по G.703, возвратных потерь 75 Ом, джиттера по G.823 и BER; не придумывать незаданные допуски.</w:t>
      </w:r>
    </w:p>
    <w:p>
      <w:pPr>
        <w:pStyle w:val="Normal"/>
      </w:pPr>
      <w:r>
        <w:t xml:space="preserve">• Диагностическое: регистрация LOS/AIS и BPV, формирование сообщений и отчётов для РМО.</w:t>
      </w:r>
    </w:p>
    <w:p>
      <w:pPr>
        <w:pStyle w:val="Normal"/>
      </w:pPr>
      <w:r>
        <w:t xml:space="preserve">• Программное: bitstream функционального модуля для Flash базовой платы, драйверы Linux и MIB для РМО.</w:t>
      </w:r>
    </w:p>
    <w:p>
      <w:pPr>
        <w:pStyle w:val="Normal"/>
      </w:pPr>
      <w:r>
        <w:t xml:space="preserve">Проверка раздела 5: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6. Требования к сырью, материалам и комплектующим изделиям</w:t>
      </w:r>
    </w:p>
    <w:p>
      <w:pPr>
        <w:pStyle w:val="Normal"/>
      </w:pPr>
      <w:r>
        <w:t xml:space="preserve">Предусмотреть приоритет отечественных материалов и комплектующих с приёмкой ОТК; при отсутствии аналогов разрешить импортную ЭКБ промышленного температурного диапазона.</w:t>
      </w:r>
    </w:p>
    <w:p>
      <w:pPr>
        <w:pStyle w:val="Normal"/>
      </w:pPr>
      <w:r>
        <w:t xml:space="preserve">Проверка раздела 6: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7. Требования к консервации, упаковке и маркировке</w:t>
      </w:r>
    </w:p>
    <w:p>
      <w:pPr>
        <w:pStyle w:val="Normal"/>
      </w:pPr>
      <w:r>
        <w:t xml:space="preserve">Предусмотреть децимальный и серийный номера, ревизию и маркировку E2-1, E2-2, E3-1; индивидуальная тара с ESD-защитой. Хранение в заводской таре — не менее 1 года по ГОСТ 15150. Незаданные условия консервации не дополнять.</w:t>
      </w:r>
    </w:p>
    <w:p>
      <w:pPr>
        <w:pStyle w:val="Normal"/>
      </w:pPr>
      <w:r>
        <w:t xml:space="preserve">Проверка раздела 7: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Heading1"/>
      </w:pPr>
      <w:r>
        <w:rPr>
          <w:b/>
        </w:rPr>
        <w:t xml:space="preserve">8. Специальные требования</w:t>
      </w:r>
    </w:p>
    <w:p>
      <w:pPr>
        <w:pStyle w:val="Normal"/>
      </w:pPr>
      <w:r>
        <w:t xml:space="preserve">• Телеметрия РМО (C++/Qt): мнемосхема портов, LOS/AIS, BPV, SAToP/E2oP и источник тактирования.</w:t>
      </w:r>
    </w:p>
    <w:p>
      <w:pPr>
        <w:pStyle w:val="Normal"/>
      </w:pPr>
      <w:r>
        <w:t xml:space="preserve">• Команды: включение/отключение передатчиков, настройка джиттер-буфера, петли и PRBS.</w:t>
      </w:r>
    </w:p>
    <w:p>
      <w:pPr>
        <w:pStyle w:val="Heading1"/>
      </w:pPr>
      <w:r>
        <w:rPr>
          <w:b/>
        </w:rPr>
        <w:t xml:space="preserve">Требования к итоговому результату</w:t>
      </w:r>
    </w:p>
    <w:p>
      <w:pPr>
        <w:pStyle w:val="Normal"/>
      </w:pPr>
      <w:r>
        <w:t xml:space="preserve">Один настоящий DOCX: `outputs/technical-specification.docx`. Включить титульную часть, лист согласования, сокращения, нормативные документы и разделы 1–8 с указанными требованиями. В соответствующих разделах предусмотреть проверку существенных параметров и безопасных режимов; неизвестные сведения пометить `[уточнить]`. Не создавать реализацию изделия и не добавлять неподтверждённые характеристики.</w:t>
      </w:r>
    </w:p>
    <w:p>
      <w:pPr>
        <w:pStyle w:val="Normal"/>
      </w:pPr>
      <w:r>
        <w:t xml:space="preserve">Проверка раздела 8: содержание, ограничения и проверяемые параметры подлежат контролю анализом РКД, осмотром, измерением или испытанием по указанным в разделе исходным критериям; незаданные методики и допуски отмечены [уточнить].</w:t>
      </w:r>
    </w:p>
    <w:p>
      <w:pPr>
        <w:pStyle w:val="Normal"/>
      </w:pPr>
      <w:r>
        <w:br w:type="page"/>
      </w:r>
    </w:p>
    <w:p>
      <w:pPr>
        <w:pStyle w:val="Heading1"/>
      </w:pPr>
      <w:r>
        <w:rPr>
          <w:b/>
        </w:rPr>
        <w:t xml:space="preserve">ПОДПИСИ РАЗРАБОТЧИКОВ ТЗ И СОГЛАСУЮЩИХ ОРГАНИЗАЦИЙ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Роль / организация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Должность, инициалы, фамилия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r>
              <w:t xml:space="preserve">Разработчик ТЗ — ООО «тушканчик»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Заказчик (или НИО заказчика)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Исполнитель составной части ОКР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Головной исполнитель ОКР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  <w:tr>
        <w:tc>
          <w:tcPr>
            <w:tcW w:w="2400" w:type="dxa"/>
          </w:tcPr>
          <w:p>
            <w:r>
              <w:t xml:space="preserve">Другие согласующие организации/службы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  <w:tc>
          <w:tcPr>
            <w:tcW w:w="2400" w:type="dxa"/>
          </w:tcPr>
          <w:p>
            <w:r>
              <w:t xml:space="preserve">[уточнить]</w:t>
            </w:r>
          </w:p>
        </w:tc>
      </w:tr>
    </w:tbl>
    <w:p>
      <w:pPr>
        <w:pStyle w:val="Normal"/>
      </w:pPr>
      <w:r>
        <w:t xml:space="preserve">Поля [уточнить] оставлены только для реквизитов, решений или параметров, отсутствующих в исходных данных.</w:t>
      </w:r>
    </w:p>
    <w:sectPr>
      <w:pgSz w:w="11906" w:h="16838"/>
      <w:pgMar w:top="1020" w:right="850" w:bottom="1020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