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t xml:space="preserve">Заказчик (НИО заказчика)</w:t>
            </w:r>
            <w:r>
              <w:br/>
            </w:r>
            <w:r>
              <w:t xml:space="preserve">[уточнить]</w:t>
            </w:r>
            <w:r>
              <w:br/>
            </w:r>
            <w:r>
              <w:br/>
            </w:r>
            <w:r>
              <w:t xml:space="preserve">__________ [уточнить]</w:t>
            </w:r>
            <w:r>
              <w:br/>
            </w:r>
            <w:r>
              <w:t xml:space="preserve">«___» __________ 20__ г.</w:t>
            </w:r>
          </w:p>
        </w:tc>
        <w:tc>
          <w:tcPr>
            <w:tcW w:w="0" w:type="auto"/>
            <w:vAlign w:val="top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t xml:space="preserve">Исполнитель составной части ОКР</w:t>
            </w:r>
            <w:r>
              <w:br/>
            </w:r>
            <w:r>
              <w:t xml:space="preserve">ООО «тушканчик»</w:t>
            </w:r>
            <w:r>
              <w:br/>
            </w:r>
            <w:r>
              <w:br/>
            </w:r>
            <w:r>
              <w:t xml:space="preserve">__________ [уточнить]</w:t>
            </w:r>
            <w:r>
              <w:br/>
            </w:r>
            <w:r>
              <w:t xml:space="preserve">«___» __________ 20__ г.</w:t>
            </w:r>
          </w:p>
        </w:tc>
        <w:tc>
          <w:tcPr>
            <w:tcW w:w="0" w:type="auto"/>
            <w:vAlign w:val="top"/>
          </w:tcPr>
          <w:p>
            <w:r>
              <w:rPr>
                <w:b/>
              </w:rPr>
              <w:t xml:space="preserve">УТВЕРЖДАЮ</w:t>
            </w:r>
            <w:r>
              <w:br/>
            </w:r>
            <w:r>
              <w:br/>
            </w:r>
            <w:r>
              <w:t xml:space="preserve">Головной исполнитель ОКР</w:t>
            </w:r>
            <w:r>
              <w:br/>
            </w:r>
            <w:r>
              <w:t xml:space="preserve">[уточнить]</w:t>
            </w:r>
            <w:r>
              <w:br/>
            </w:r>
            <w:r>
              <w:br/>
            </w:r>
            <w:r>
              <w:t xml:space="preserve">__________ [уточнить]</w:t>
            </w:r>
            <w:r>
              <w:br/>
            </w:r>
            <w:r>
              <w:t xml:space="preserve">«___» __________ 20__ г.</w:t>
            </w:r>
          </w:p>
        </w:tc>
      </w:tr>
    </w:tbl>
    <w:p>
      <w:pPr>
        <w:pStyle w:val="Heading1"/>
        <w:jc w:val="center"/>
        <w:keepNext/>
      </w:pPr>
      <w:r>
        <w:t xml:space="preserve">ТЕХНИЧЕСКОЕ ЗАДАНИЕ</w:t>
      </w:r>
    </w:p>
    <w:p>
      <w:pPr>
        <w:pStyle w:val="Heading2"/>
        <w:jc w:val="center"/>
        <w:keepNext/>
      </w:pPr>
      <w:r>
        <w:t xml:space="preserve">НА СОСТАВНУЮ ЧАСТЬ</w:t>
      </w:r>
      <w:r>
        <w:br/>
      </w:r>
      <w:r>
        <w:t xml:space="preserve">ОПЫТНО-КОНСТРУКТОРСКОЙ РАБОТЫ</w:t>
      </w:r>
    </w:p>
    <w:p>
      <w:pPr>
        <w:pStyle w:val="TitleText"/>
        <w:jc w:val="center"/>
      </w:pPr>
      <w:r>
        <w:t xml:space="preserve">Разработка сменной интерфейсной субплаты E2/E3</w:t>
      </w:r>
      <w:r>
        <w:br/>
      </w:r>
      <w:r>
        <w:t xml:space="preserve">и функционального модуля PDH для универсального базового модуля AMC семейства ДММП</w:t>
      </w:r>
    </w:p>
    <w:p>
      <w:pPr>
        <w:pStyle w:val="TitleText"/>
        <w:jc w:val="center"/>
      </w:pPr>
      <w:r>
        <w:t xml:space="preserve">Шифр ОКР «Развитие-ТСА»</w:t>
      </w:r>
    </w:p>
    <w:p>
      <w:pPr>
        <w:pStyle w:val="TitleText"/>
        <w:jc w:val="center"/>
      </w:pPr>
      <w:r>
        <w:t xml:space="preserve">Обозначение составной части изделия: [уточнить]</w:t>
      </w:r>
    </w:p>
    <w:p>
      <w:pPr>
        <w:pStyle w:val="TitleText"/>
        <w:jc w:val="center"/>
      </w:pPr>
      <w:r>
        <w:t xml:space="preserve">Действует с дополнением: —</w:t>
      </w:r>
    </w:p>
    <w:p>
      <w:r>
        <w:br w:type="page"/>
      </w:r>
    </w:p>
    <w:p>
      <w:pPr>
        <w:pStyle w:val="Heading1"/>
        <w:jc w:val="center"/>
        <w:keepNext/>
      </w:pPr>
      <w:r>
        <w:t xml:space="preserve">ЛИСТ СОГЛАСОВАНИЯ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  <w:shd w:val="clear" w:fill="D9E2F3"/>
          </w:tcPr>
          <w:p>
            <w:r>
              <w:t xml:space="preserve">Организация, должность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Фамилия, инициалы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Подпись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Дата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Заказчик (НИО заказчика):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Исполнитель составной части ОКР: ООО «тушканчик», должность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Головной исполнитель ОКР: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Другие согласующие организации (при наличии):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</w:tbl>
    <w:p>
      <w:pPr>
        <w:pStyle w:val="BodyText"/>
      </w:pPr>
      <w:r>
        <w:rPr>
          <w:b/>
        </w:rPr>
        <w:t xml:space="preserve">Примечание.</w:t>
      </w:r>
      <w:r>
        <w:t xml:space="preserve"> Перечень иных согласующих организаций и служб определяется решениями заказчика и головного исполнителя ОКР.</w:t>
      </w:r>
    </w:p>
    <w:p>
      <w:r>
        <w:br w:type="page"/>
      </w:r>
    </w:p>
    <w:p>
      <w:pPr>
        <w:pStyle w:val="Heading1"/>
        <w:jc w:val="center"/>
        <w:keepNext/>
      </w:pPr>
      <w:r>
        <w:t xml:space="preserve">ОБОЗНАЧЕНИЯ, СОКРАЩЕНИЯ И ТЕРМИНЫ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  <w:shd w:val="clear" w:fill="D9E2F3"/>
          </w:tcPr>
          <w:p>
            <w:r>
              <w:t xml:space="preserve">Обозначение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Определение в настоящем ТЗ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ACR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способа восстановления тактовой частоты в пакетной сети;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AIS</w:t>
            </w:r>
          </w:p>
        </w:tc>
        <w:tc>
          <w:tcPr>
            <w:tcW w:w="0" w:type="auto"/>
            <w:vAlign w:val="top"/>
          </w:tcPr>
          <w:p>
            <w:r>
              <w:t xml:space="preserve">сигнал индикации аварии, непрерывно формируемый на выходе при потере пакетов или аварии сети.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AMC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форм-фактора универсального базового модуля семейства ДММП;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B2B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межплатного соединения сменной субплаты с базовой платой;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BER</w:t>
            </w:r>
          </w:p>
        </w:tc>
        <w:tc>
          <w:tcPr>
            <w:tcW w:w="0" w:type="auto"/>
            <w:vAlign w:val="top"/>
          </w:tcPr>
          <w:p>
            <w:r>
              <w:t xml:space="preserve">показатель битовых ошибок, измеряемый генератором/анализатором PRBS.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Board ID</w:t>
            </w:r>
          </w:p>
        </w:tc>
        <w:tc>
          <w:tcPr>
            <w:tcW w:w="0" w:type="auto"/>
            <w:vAlign w:val="top"/>
          </w:tcPr>
          <w:p>
            <w:r>
              <w:t xml:space="preserve">идентификатор сменной субплаты, хранимый в EEPROM; для изделия имеет значение 0x03.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BPV/CV HDB3</w:t>
            </w:r>
          </w:p>
        </w:tc>
        <w:tc>
          <w:tcPr>
            <w:tcW w:w="0" w:type="auto"/>
            <w:vAlign w:val="top"/>
          </w:tcPr>
          <w:p>
            <w:r>
              <w:t xml:space="preserve">контролируемые нарушения биполярности/кода HDB3; точные раскрытия BPV и CV в исходных данных отсутствуют.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DCR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способа восстановления тактовой частоты в пакетной сети;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ДММП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семейства платформы; полное наименование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E2, E3</w:t>
            </w:r>
          </w:p>
        </w:tc>
        <w:tc>
          <w:tcPr>
            <w:tcW w:w="0" w:type="auto"/>
            <w:vAlign w:val="top"/>
          </w:tcPr>
          <w:p>
            <w:r>
              <w:t xml:space="preserve">иерархические цифровые потоки со скоростями соответственно 8448 кбит/с и 34 368 кбит/с.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E2oP</w:t>
            </w:r>
          </w:p>
        </w:tc>
        <w:tc>
          <w:tcPr>
            <w:tcW w:w="0" w:type="auto"/>
            <w:vAlign w:val="top"/>
          </w:tcPr>
          <w:p>
            <w:r>
              <w:t xml:space="preserve">передача полного потока E2 по пакетной сети на архитектуре SAToP.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EEPROM</w:t>
            </w:r>
          </w:p>
        </w:tc>
        <w:tc>
          <w:tcPr>
            <w:tcW w:w="0" w:type="auto"/>
            <w:vAlign w:val="top"/>
          </w:tcPr>
          <w:p>
            <w:r>
              <w:t xml:space="preserve">энергонезависимая память для хранения Board ID.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HDB3</w:t>
            </w:r>
          </w:p>
        </w:tc>
        <w:tc>
          <w:tcPr>
            <w:tcW w:w="0" w:type="auto"/>
            <w:vAlign w:val="top"/>
          </w:tcPr>
          <w:p>
            <w:r>
              <w:t xml:space="preserve">линейный код, установленный для трактов E2 и E3.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LIU</w:t>
            </w:r>
          </w:p>
        </w:tc>
        <w:tc>
          <w:tcPr>
            <w:tcW w:w="0" w:type="auto"/>
            <w:vAlign w:val="top"/>
          </w:tcPr>
          <w:p>
            <w:r>
              <w:t xml:space="preserve">узел линейного интерфейса;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MMC</w:t>
            </w:r>
          </w:p>
        </w:tc>
        <w:tc>
          <w:tcPr>
            <w:tcW w:w="0" w:type="auto"/>
            <w:vAlign w:val="top"/>
          </w:tcPr>
          <w:p>
            <w:r>
              <w:t xml:space="preserve">контроллер управления модулем, предоставляемый базовой платой; точное англоязычное раскрытие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MTBF</w:t>
            </w:r>
          </w:p>
        </w:tc>
        <w:tc>
          <w:tcPr>
            <w:tcW w:w="0" w:type="auto"/>
            <w:vAlign w:val="top"/>
          </w:tcPr>
          <w:p>
            <w:r>
              <w:t xml:space="preserve">средняя наработка между отказами; нормируемое значение — не менее 15 000 ч.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PDH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функционального модуля и цифровой иерархии для трактов 8 и 34 Мбит/с; точное раскрытие аббревиатуры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PRBS 2</w:t>
            </w:r>
            <w:r>
              <w:rPr>
                <w:vertAlign w:val="superscript"/>
                <w:sz w:val="16"/>
              </w:rPr>
              <w:t xml:space="preserve">23</w:t>
            </w:r>
            <w:r>
              <w:t xml:space="preserve">−1</w:t>
            </w:r>
          </w:p>
        </w:tc>
        <w:tc>
          <w:tcPr>
            <w:tcW w:w="0" w:type="auto"/>
            <w:vAlign w:val="top"/>
          </w:tcPr>
          <w:p>
            <w:r>
              <w:t xml:space="preserve">псевдослучайная двоичная последовательность для измерения BER.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QoS</w:t>
            </w:r>
          </w:p>
        </w:tc>
        <w:tc>
          <w:tcPr>
            <w:tcW w:w="0" w:type="auto"/>
            <w:vAlign w:val="top"/>
          </w:tcPr>
          <w:p>
            <w:r>
              <w:t xml:space="preserve">управление приоритетом трафика; для Fabric 10GbE применяется Strict Priority.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РКД</w:t>
            </w:r>
          </w:p>
        </w:tc>
        <w:tc>
          <w:tcPr>
            <w:tcW w:w="0" w:type="auto"/>
            <w:vAlign w:val="top"/>
          </w:tcPr>
          <w:p>
            <w:r>
              <w:t xml:space="preserve">рабочая конструкторская документация.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РМО</w:t>
            </w:r>
          </w:p>
        </w:tc>
        <w:tc>
          <w:tcPr>
            <w:tcW w:w="0" w:type="auto"/>
            <w:vAlign w:val="top"/>
          </w:tcPr>
          <w:p>
            <w:r>
              <w:t xml:space="preserve">обозначение системы/рабочего места, для которого формируются сообщения, отчёты и телеметрия; полное наименование в исходных данных отсутствует.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ОКР</w:t>
            </w:r>
          </w:p>
        </w:tc>
        <w:tc>
          <w:tcPr>
            <w:tcW w:w="0" w:type="auto"/>
            <w:vAlign w:val="top"/>
          </w:tcPr>
          <w:p>
            <w:r>
              <w:t xml:space="preserve">опытно-конструкторская работа.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ПЛИС</w:t>
            </w:r>
          </w:p>
        </w:tc>
        <w:tc>
          <w:tcPr>
            <w:tcW w:w="0" w:type="auto"/>
            <w:vAlign w:val="top"/>
          </w:tcPr>
          <w:p>
            <w:r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ПМИ</w:t>
            </w:r>
          </w:p>
        </w:tc>
        <w:tc>
          <w:tcPr>
            <w:tcW w:w="0" w:type="auto"/>
            <w:vAlign w:val="top"/>
          </w:tcPr>
          <w:p>
            <w:r>
              <w:t xml:space="preserve">программа и методики испытаний.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SAToP</w:t>
            </w:r>
          </w:p>
        </w:tc>
        <w:tc>
          <w:tcPr>
            <w:tcW w:w="0" w:type="auto"/>
            <w:vAlign w:val="top"/>
          </w:tcPr>
          <w:p>
            <w:r>
              <w:t xml:space="preserve">режим передачи полного потока по пакетной сети по RFC 4553.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TCLK</w:t>
            </w:r>
          </w:p>
        </w:tc>
        <w:tc>
          <w:tcPr>
            <w:tcW w:w="0" w:type="auto"/>
            <w:vAlign w:val="top"/>
          </w:tcPr>
          <w:p>
            <w:r>
              <w:t xml:space="preserve">тактовый сигнал базовой платы частотой 19,44 МГц.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TDM-over-Packet</w:t>
            </w:r>
          </w:p>
        </w:tc>
        <w:tc>
          <w:tcPr>
            <w:tcW w:w="0" w:type="auto"/>
            <w:vAlign w:val="top"/>
          </w:tcPr>
          <w:p>
            <w:r>
              <w:t xml:space="preserve">передача потоков с временным разделением каналов через пакетную сеть.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TX/RX</w:t>
            </w:r>
          </w:p>
        </w:tc>
        <w:tc>
          <w:tcPr>
            <w:tcW w:w="0" w:type="auto"/>
            <w:vAlign w:val="top"/>
          </w:tcPr>
          <w:p>
            <w:r>
              <w:t xml:space="preserve">направления передачи/приёма.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ОТК</w:t>
            </w:r>
          </w:p>
        </w:tc>
        <w:tc>
          <w:tcPr>
            <w:tcW w:w="0" w:type="auto"/>
            <w:vAlign w:val="top"/>
          </w:tcPr>
          <w:p>
            <w:r>
              <w:t xml:space="preserve">отдел технического контроля.</w:t>
            </w:r>
          </w:p>
        </w:tc>
      </w:tr>
    </w:tbl>
    <w:p>
      <w:pPr>
        <w:pStyle w:val="BodyText"/>
      </w:pPr>
      <w:r>
        <w:rPr>
          <w:b/>
        </w:rPr>
        <w:t xml:space="preserve">Примечание.</w:t>
      </w:r>
      <w:r>
        <w:t xml:space="preserve"> Полные наименования ДММП и РМО, а также точные раскрытия ACR, DCR, BPV, CV, LIU, MMC и PDH должны быть предоставлены головным исполнителем ОКР. До получения этих сведений используются только приведённые функциональные значения обозначений.</w:t>
      </w:r>
    </w:p>
    <w:p>
      <w:r>
        <w:br w:type="page"/>
      </w:r>
    </w:p>
    <w:p>
      <w:pPr>
        <w:pStyle w:val="Heading1"/>
        <w:jc w:val="center"/>
        <w:keepNext/>
      </w:pPr>
      <w:r>
        <w:t xml:space="preserve">ПРИМЕНИМЫЕ НОРМАТИВНЫЕ И СПРАВОЧНЫЕ ДОКУМЕНТЫ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  <w:shd w:val="clear" w:fill="D9E2F3"/>
          </w:tcPr>
          <w:p>
            <w:r>
              <w:t xml:space="preserve">Документ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Область применения в настоящем ТЗ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15.016—2016</w:t>
            </w:r>
          </w:p>
        </w:tc>
        <w:tc>
          <w:tcPr>
            <w:tcW w:w="0" w:type="auto"/>
            <w:vAlign w:val="top"/>
          </w:tcPr>
          <w:p>
            <w:r>
              <w:t xml:space="preserve">Система разработки и постановки продукции на производство. Техническое задание. Требования к содержанию и оформлению.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ITU-T G.703</w:t>
            </w:r>
          </w:p>
        </w:tc>
        <w:tc>
          <w:tcPr>
            <w:tcW w:w="0" w:type="auto"/>
            <w:vAlign w:val="top"/>
          </w:tcPr>
          <w:p>
            <w:r>
              <w:t xml:space="preserve">Электрические параметры трактов E2 и E3; форма и амплитуда импульсов.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ITU-T G.704</w:t>
            </w:r>
          </w:p>
        </w:tc>
        <w:tc>
          <w:tcPr>
            <w:tcW w:w="0" w:type="auto"/>
            <w:vAlign w:val="top"/>
          </w:tcPr>
          <w:p>
            <w:r>
              <w:t xml:space="preserve">Структура потока E2.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ITU-T G.751</w:t>
            </w:r>
          </w:p>
        </w:tc>
        <w:tc>
          <w:tcPr>
            <w:tcW w:w="0" w:type="auto"/>
            <w:vAlign w:val="top"/>
          </w:tcPr>
          <w:p>
            <w:r>
              <w:t xml:space="preserve">Структура потока E3.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ITU-T G.823</w:t>
            </w:r>
          </w:p>
        </w:tc>
        <w:tc>
          <w:tcPr>
            <w:tcW w:w="0" w:type="auto"/>
            <w:vAlign w:val="top"/>
          </w:tcPr>
          <w:p>
            <w:r>
              <w:t xml:space="preserve">Джиттер и вандер.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RFC 4553</w:t>
            </w:r>
          </w:p>
        </w:tc>
        <w:tc>
          <w:tcPr>
            <w:tcW w:w="0" w:type="auto"/>
            <w:vAlign w:val="top"/>
          </w:tcPr>
          <w:p>
            <w:r>
              <w:t xml:space="preserve">SAToP для полного потока E3.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PICMG AMC.0 R2.0</w:t>
            </w:r>
          </w:p>
        </w:tc>
        <w:tc>
          <w:tcPr>
            <w:tcW w:w="0" w:type="auto"/>
            <w:vAlign w:val="top"/>
          </w:tcPr>
          <w:p>
            <w:r>
              <w:t xml:space="preserve">Конструктивное исполнение Single Full-size AMC.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РВ 20.39.304-98</w:t>
            </w:r>
          </w:p>
        </w:tc>
        <w:tc>
          <w:tcPr>
            <w:tcW w:w="0" w:type="auto"/>
            <w:vAlign w:val="top"/>
          </w:tcPr>
          <w:p>
            <w:r>
              <w:t xml:space="preserve">Стойкость к внешним воздействующим факторам: группы 1.1, 1.3, 1.4.1, исполнение «О».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В 25803-91</w:t>
            </w:r>
          </w:p>
        </w:tc>
        <w:tc>
          <w:tcPr>
            <w:tcW w:w="0" w:type="auto"/>
            <w:vAlign w:val="top"/>
          </w:tcPr>
          <w:p>
            <w:r>
              <w:t xml:space="preserve">Радиопомехи: группа 1.1.1.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2.114-2016</w:t>
            </w:r>
          </w:p>
        </w:tc>
        <w:tc>
          <w:tcPr>
            <w:tcW w:w="0" w:type="auto"/>
            <w:vAlign w:val="top"/>
          </w:tcPr>
          <w:p>
            <w:r>
              <w:t xml:space="preserve">Разработка и оформление РКД в применимой части.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РВ 15.201-2003</w:t>
            </w:r>
          </w:p>
        </w:tc>
        <w:tc>
          <w:tcPr>
            <w:tcW w:w="0" w:type="auto"/>
            <w:vAlign w:val="top"/>
          </w:tcPr>
          <w:p>
            <w:r>
              <w:t xml:space="preserve">Выполнение ОКР в применимой части.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ГОСТ 15150</w:t>
            </w:r>
          </w:p>
        </w:tc>
        <w:tc>
          <w:tcPr>
            <w:tcW w:w="0" w:type="auto"/>
            <w:vAlign w:val="top"/>
          </w:tcPr>
          <w:p>
            <w:r>
              <w:t xml:space="preserve">Условия хранения изделия в заводской таре.</w:t>
            </w:r>
          </w:p>
        </w:tc>
      </w:tr>
    </w:tbl>
    <w:p>
      <w:pPr>
        <w:pStyle w:val="BodyText"/>
      </w:pPr>
      <w:r>
        <w:rPr>
          <w:b/>
        </w:rPr>
        <w:t xml:space="preserve">Проверка применимости.</w:t>
      </w:r>
      <w:r>
        <w:t xml:space="preserve"> При разработке РКД и ПМИ исполнитель должен применять указанные документы в областях, приведённых в таблице. Конкретные редакции документов, для которых год издания не указан в исходных данных, подлежат уточнению головным исполнителем ОКР; это уточнение не должно изменять установленные настоящим ТЗ числовые требования.</w:t>
      </w:r>
    </w:p>
    <w:p>
      <w:r>
        <w:br w:type="page"/>
      </w:r>
    </w:p>
    <w:p>
      <w:pPr>
        <w:pStyle w:val="Heading1"/>
        <w:jc w:val="center"/>
        <w:keepNext/>
      </w:pPr>
      <w:r>
        <w:t xml:space="preserve">1 Наименование, шифр, основание, исполнители и сроки ОКР</w:t>
      </w:r>
    </w:p>
    <w:p>
      <w:pPr>
        <w:pStyle w:val="BodyText"/>
      </w:pPr>
      <w:r>
        <w:rPr>
          <w:b/>
        </w:rPr>
        <w:t xml:space="preserve">1.1</w:t>
      </w:r>
      <w:r>
        <w:t xml:space="preserve"> Наименование составной части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pStyle w:val="BodyText"/>
      </w:pPr>
      <w:r>
        <w:rPr>
          <w:b/>
        </w:rPr>
        <w:t xml:space="preserve">1.2</w:t>
      </w:r>
      <w:r>
        <w:t xml:space="preserve"> Шифр ОКР — «Развитие-ТСА». ОКР и составная часть ОКР должны иметь одинаковый шифр.</w:t>
      </w:r>
    </w:p>
    <w:p>
      <w:pPr>
        <w:pStyle w:val="BodyText"/>
      </w:pPr>
      <w:r>
        <w:rPr>
          <w:b/>
        </w:rPr>
        <w:t xml:space="preserve">1.3</w:t>
      </w:r>
      <w:r>
        <w:t xml:space="preserve"> Основание выполнения — приказ об открытии инициативной ОКР № [уточнить] от [уточнить]. Номер и дата должны быть предоставлены ООО «тушканчик» в установленном у него порядке.</w:t>
      </w:r>
    </w:p>
    <w:p>
      <w:pPr>
        <w:pStyle w:val="BodyText"/>
      </w:pPr>
      <w:r>
        <w:rPr>
          <w:b/>
        </w:rPr>
        <w:t xml:space="preserve">1.4</w:t>
      </w:r>
      <w:r>
        <w:t xml:space="preserve"> Исполнитель составной части ОКР — ООО «тушканчик».</w:t>
      </w:r>
    </w:p>
    <w:p>
      <w:pPr>
        <w:pStyle w:val="BodyText"/>
      </w:pPr>
      <w:r>
        <w:rPr>
          <w:b/>
        </w:rPr>
        <w:t xml:space="preserve">1.5</w:t>
      </w:r>
      <w:r>
        <w:t xml:space="preserve"> Начало и окончание работ должны соответствовать утверждённому плану-графику разработки РКД и программной документации, изготовления образцов и проведения испытаний. Календарные даты и реквизиты утверждения плана-графика: [уточнить; предоставляет головной исполнитель ОКР].</w:t>
      </w:r>
    </w:p>
    <w:p>
      <w:pPr>
        <w:pStyle w:val="Heading1"/>
        <w:jc w:val="center"/>
        <w:keepNext/>
      </w:pPr>
      <w:r>
        <w:t xml:space="preserve">2 Цель выполнения, наименование, назначение и область применения изделия</w:t>
      </w:r>
    </w:p>
    <w:p>
      <w:pPr>
        <w:pStyle w:val="BodyText"/>
      </w:pPr>
      <w:r>
        <w:rPr>
          <w:b/>
        </w:rPr>
        <w:t xml:space="preserve">2.1</w:t>
      </w:r>
      <w:r>
        <w:t xml:space="preserve"> Цель работы — создать сменную интерфейсную субплату E2/E3 и функциональный модуль PDH, обеспечивающие подключение к платформе ДММП через коаксиальные линии двух независимых потоков E2 и одного потока E3, передачу TDM-over-Packet, джиттер-буферизацию и синхронизацию.</w:t>
      </w:r>
    </w:p>
    <w:p>
      <w:pPr>
        <w:pStyle w:val="BodyText"/>
      </w:pPr>
      <w:r>
        <w:rPr>
          <w:b/>
        </w:rPr>
        <w:t xml:space="preserve">2.2</w:t>
      </w:r>
      <w:r>
        <w:t xml:space="preserve"> Изделие предназначено для применения на PDH-трактах 8 и 34 Мбит/с энергетики, железнодорожного транспорта и магистральных операторов.</w:t>
      </w:r>
    </w:p>
    <w:p>
      <w:pPr>
        <w:pStyle w:val="BodyText"/>
      </w:pPr>
      <w:r>
        <w:rPr>
          <w:b/>
        </w:rPr>
        <w:t xml:space="preserve">2.3</w:t>
      </w:r>
      <w:r>
        <w:t xml:space="preserve"> AMC с установленной сменной субплатой должен устанавливаться на Carrier платформы ДММП.</w:t>
      </w:r>
    </w:p>
    <w:p>
      <w:pPr>
        <w:pStyle w:val="BodyText"/>
      </w:pPr>
      <w:r>
        <w:rPr>
          <w:b/>
        </w:rPr>
        <w:t xml:space="preserve">2.4</w:t>
      </w:r>
      <w:r>
        <w:t xml:space="preserve"> Аппаратная часть должна включать сменную субплату, линейные интерфейсы, импульсную защиту, трансформаторную гальваническую развязку, трансиверы/LIU, EEPROM с Board ID и средства светодиодной индикации.</w:t>
      </w:r>
    </w:p>
    <w:p>
      <w:pPr>
        <w:pStyle w:val="BodyText"/>
      </w:pPr>
      <w:r>
        <w:rPr>
          <w:b/>
        </w:rPr>
        <w:t xml:space="preserve">2.5</w:t>
      </w:r>
      <w:r>
        <w:t xml:space="preserve"> Логическая часть должна быть выполнена как функциональный модуль ПЛИС базовой платы. Базовая плата должна автоматически активировать его по Board ID 0x03 и загружать bitstream PDH из Flash.</w:t>
      </w:r>
    </w:p>
    <w:p>
      <w:pPr>
        <w:pStyle w:val="BodyText"/>
      </w:pPr>
      <w:r>
        <w:rPr>
          <w:b/>
        </w:rPr>
        <w:t xml:space="preserve">2.6</w:t>
      </w:r>
      <w:r>
        <w:t xml:space="preserve"> Проверка назначения должна включать осмотр состава и функциональное испытание подключения двух независимых E2 и одного E3, их одновременной передачи через пакетную сеть, джиттер-буферизации и синхронизации. Критерий — выполнение требований раздела 3 для всех трёх портов.</w:t>
      </w:r>
    </w:p>
    <w:p>
      <w:pPr>
        <w:pStyle w:val="Heading1"/>
        <w:jc w:val="center"/>
        <w:keepNext/>
      </w:pPr>
      <w:r>
        <w:t xml:space="preserve">3 Технические требования к изделию</w:t>
      </w:r>
    </w:p>
    <w:p>
      <w:pPr>
        <w:pStyle w:val="Heading2"/>
        <w:keepNext/>
      </w:pPr>
      <w:r>
        <w:t xml:space="preserve">3.1 Архитектура, разъёмы и кабели</w:t>
      </w:r>
    </w:p>
    <w:p>
      <w:pPr>
        <w:pStyle w:val="BodyText"/>
      </w:pPr>
      <w:r>
        <w:rPr>
          <w:b/>
        </w:rPr>
        <w:t xml:space="preserve">3.1.1</w:t>
      </w:r>
      <w:r>
        <w:t xml:space="preserve"> Сменная субплата должна подключаться к базовой плате через B2B.</w:t>
      </w:r>
    </w:p>
    <w:p>
      <w:pPr>
        <w:pStyle w:val="BodyText"/>
      </w:pPr>
      <w:r>
        <w:rPr>
          <w:b/>
        </w:rPr>
        <w:t xml:space="preserve">3.1.2</w:t>
      </w:r>
      <w:r>
        <w:t xml:space="preserve"> На субплате должны быть установлены три экранированных вибростойких разъёма HARTING PushPull 09452812560 с замковой фиксацией.</w:t>
      </w:r>
    </w:p>
    <w:p>
      <w:pPr>
        <w:pStyle w:val="BodyText"/>
      </w:pPr>
      <w:r>
        <w:rPr>
          <w:b/>
        </w:rPr>
        <w:t xml:space="preserve">3.1.3</w:t>
      </w:r>
      <w:r>
        <w:t xml:space="preserve"> Разъёмы E2-1, E2-2 и E3-1 должны обслуживать каждый отдельные коаксиальные цепи TX и RX с волновым сопротивлением 75 Ом.</w:t>
      </w:r>
    </w:p>
    <w:p>
      <w:pPr>
        <w:pStyle w:val="BodyText"/>
      </w:pPr>
      <w:r>
        <w:rPr>
          <w:b/>
        </w:rPr>
        <w:t xml:space="preserve">3.1.4</w:t>
      </w:r>
      <w:r>
        <w:t xml:space="preserve"> Каждый порт должен содержать ВЧ-трансформатор, LIU и импульсную защиту.</w:t>
      </w:r>
    </w:p>
    <w:p>
      <w:pPr>
        <w:pStyle w:val="BodyText"/>
      </w:pPr>
      <w:r>
        <w:rPr>
          <w:b/>
        </w:rPr>
        <w:t xml:space="preserve">3.1.5</w:t>
      </w:r>
      <w:r>
        <w:t xml:space="preserve"> Субплата должна содержать EEPROM с Board ID 0x03 и светодиоды.</w:t>
      </w:r>
    </w:p>
    <w:p>
      <w:pPr>
        <w:pStyle w:val="BodyText"/>
      </w:pPr>
      <w:r>
        <w:rPr>
          <w:b/>
        </w:rPr>
        <w:t xml:space="preserve">3.1.6</w:t>
      </w:r>
      <w:r>
        <w:t xml:space="preserve"> Базовая плата должна предоставлять субплате питание +12 В и +3,3 В, MMC и тактирование и должна автоматически загружать bitstream PDH из Flash при определении Board ID 0x03.</w:t>
      </w:r>
    </w:p>
    <w:p>
      <w:pPr>
        <w:pStyle w:val="BodyText"/>
      </w:pPr>
      <w:r>
        <w:rPr>
          <w:b/>
        </w:rPr>
        <w:t xml:space="preserve">3.1.7</w:t>
      </w:r>
      <w:r>
        <w:t xml:space="preserve"> В комплект изделия и РКД должны входить экранированные адаптеры HARTING PushPull → две вилки BNC 75 Ом / DIN 1.0/2.3 с маркировкой TX и RX.</w:t>
      </w:r>
    </w:p>
    <w:p>
      <w:pPr>
        <w:pStyle w:val="BodyText"/>
      </w:pPr>
      <w:r>
        <w:rPr>
          <w:b/>
        </w:rPr>
        <w:t xml:space="preserve">3.1.8</w:t>
      </w:r>
      <w:r>
        <w:t xml:space="preserve"> Применение вилок BNC 50 Ом запрещено по импедансу и габаритам.</w:t>
      </w:r>
    </w:p>
    <w:p>
      <w:pPr>
        <w:pStyle w:val="BodyText"/>
      </w:pPr>
      <w:r>
        <w:rPr>
          <w:b/>
        </w:rPr>
        <w:t xml:space="preserve">3.1.9</w:t>
      </w:r>
      <w:r>
        <w:t xml:space="preserve"> Проверка требований 3.1.1–3.1.8 должна выполняться осмотром РКД и образца, проверкой маркировки, прозвонкой направления TX/RX и функциональной проверкой автоматической загрузки bitstream при Board ID 0x03. Волновое сопротивление адаптеров должно быть подтверждено РКД и измерением возвратных потерь по 3.2.4.</w:t>
      </w:r>
    </w:p>
    <w:p>
      <w:pPr>
        <w:pStyle w:val="Heading2"/>
        <w:keepNext/>
      </w:pPr>
      <w:r>
        <w:t xml:space="preserve">3.2 Электрические параметры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  <w:shd w:val="clear" w:fill="D9E2F3"/>
          </w:tcPr>
          <w:p>
            <w:r>
              <w:t xml:space="preserve">Идентификатор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Параметр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E2 (два порта)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E3 (один порт)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3.2.1</w:t>
            </w:r>
          </w:p>
        </w:tc>
        <w:tc>
          <w:tcPr>
            <w:tcW w:w="0" w:type="auto"/>
            <w:vAlign w:val="top"/>
          </w:tcPr>
          <w:p>
            <w:r>
              <w:t xml:space="preserve">Скорость</w:t>
            </w:r>
          </w:p>
        </w:tc>
        <w:tc>
          <w:tcPr>
            <w:tcW w:w="0" w:type="auto"/>
            <w:vAlign w:val="top"/>
          </w:tcPr>
          <w:p>
            <w:r>
              <w:t xml:space="preserve">8448 кбит/с (8,448 Мбит/с) ±30 ppm</w:t>
            </w:r>
          </w:p>
        </w:tc>
        <w:tc>
          <w:tcPr>
            <w:tcW w:w="0" w:type="auto"/>
            <w:vAlign w:val="top"/>
          </w:tcPr>
          <w:p>
            <w:r>
              <w:t xml:space="preserve">34 368 кбит/с (34,368 Мбит/с) ±20 ppm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3.2.2</w:t>
            </w:r>
          </w:p>
        </w:tc>
        <w:tc>
          <w:tcPr>
            <w:tcW w:w="0" w:type="auto"/>
            <w:vAlign w:val="top"/>
          </w:tcPr>
          <w:p>
            <w:r>
              <w:t xml:space="preserve">Код и сопротивление</w:t>
            </w:r>
          </w:p>
        </w:tc>
        <w:tc>
          <w:tcPr>
            <w:tcW w:w="0" w:type="auto"/>
            <w:vAlign w:val="top"/>
          </w:tcPr>
          <w:p>
            <w:r>
              <w:t xml:space="preserve">HDB3, 75 Ом</w:t>
            </w:r>
          </w:p>
        </w:tc>
        <w:tc>
          <w:tcPr>
            <w:tcW w:w="0" w:type="auto"/>
            <w:vAlign w:val="top"/>
          </w:tcPr>
          <w:p>
            <w:r>
              <w:t xml:space="preserve">HDB3, 75 Ом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3.2.3</w:t>
            </w:r>
          </w:p>
        </w:tc>
        <w:tc>
          <w:tcPr>
            <w:tcW w:w="0" w:type="auto"/>
            <w:vAlign w:val="top"/>
          </w:tcPr>
          <w:p>
            <w:r>
              <w:t xml:space="preserve">Пиковое напряжение / длительность</w:t>
            </w:r>
          </w:p>
        </w:tc>
        <w:tc>
          <w:tcPr>
            <w:tcW w:w="0" w:type="auto"/>
            <w:vAlign w:val="top"/>
          </w:tcPr>
          <w:p>
            <w:r>
              <w:t xml:space="preserve">2,37 В / 59 нс</w:t>
            </w:r>
          </w:p>
        </w:tc>
        <w:tc>
          <w:tcPr>
            <w:tcW w:w="0" w:type="auto"/>
            <w:vAlign w:val="top"/>
          </w:tcPr>
          <w:p>
            <w:r>
              <w:t xml:space="preserve">1,0 В / 14,55 нс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3.2.4</w:t>
            </w:r>
          </w:p>
        </w:tc>
        <w:tc>
          <w:tcPr>
            <w:tcW w:w="0" w:type="auto"/>
            <w:vAlign w:val="top"/>
          </w:tcPr>
          <w:p>
            <w:r>
              <w:t xml:space="preserve">Возвратные потери входа/выхода</w:t>
            </w:r>
          </w:p>
        </w:tc>
        <w:tc>
          <w:tcPr>
            <w:tcW w:w="0" w:type="auto"/>
            <w:vAlign w:val="top"/>
          </w:tcPr>
          <w:p>
            <w:r>
              <w:t xml:space="preserve">не менее 18 дБ в диапазоне 422–8448 кГц</w:t>
            </w:r>
          </w:p>
        </w:tc>
        <w:tc>
          <w:tcPr>
            <w:tcW w:w="0" w:type="auto"/>
            <w:vAlign w:val="top"/>
          </w:tcPr>
          <w:p>
            <w:r>
              <w:t xml:space="preserve">не менее 18 дБ в диапазоне 1720–34 368 кГц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3.2.5</w:t>
            </w:r>
          </w:p>
        </w:tc>
        <w:tc>
          <w:tcPr>
            <w:tcW w:w="0" w:type="auto"/>
            <w:vAlign w:val="top"/>
          </w:tcPr>
          <w:p>
            <w:r>
              <w:t xml:space="preserve">Допустимое затухание кабеля</w:t>
            </w:r>
          </w:p>
        </w:tc>
        <w:tc>
          <w:tcPr>
            <w:tcW w:w="0" w:type="auto"/>
            <w:vAlign w:val="top"/>
          </w:tcPr>
          <w:p>
            <w:r>
              <w:t xml:space="preserve">до 6 дБ на частоте 4224 кГц</w:t>
            </w:r>
          </w:p>
        </w:tc>
        <w:tc>
          <w:tcPr>
            <w:tcW w:w="0" w:type="auto"/>
            <w:vAlign w:val="top"/>
          </w:tcPr>
          <w:p>
            <w:r>
              <w:t xml:space="preserve">до 12 дБ на частоте 17 184 кГц</w:t>
            </w:r>
          </w:p>
        </w:tc>
      </w:tr>
    </w:tbl>
    <w:p>
      <w:pPr>
        <w:pStyle w:val="BodyText"/>
      </w:pPr>
      <w:r>
        <w:rPr>
          <w:b/>
        </w:rPr>
        <w:t xml:space="preserve">3.2.6</w:t>
      </w:r>
      <w:r>
        <w:t xml:space="preserve"> Каждый порт должен иметь трансформаторную гальваническую развязку и импульсную защиту.</w:t>
      </w:r>
    </w:p>
    <w:p>
      <w:pPr>
        <w:pStyle w:val="BodyText"/>
      </w:pPr>
      <w:r>
        <w:rPr>
          <w:b/>
        </w:rPr>
        <w:t xml:space="preserve">3.2.7</w:t>
      </w:r>
      <w:r>
        <w:t xml:space="preserve"> Структура потока E2 должна соответствовать ITU-T G.704, структура потока E3 — ITU-T G.751, электрические параметры E2 и E3 — ITU-T G.703.</w:t>
      </w:r>
    </w:p>
    <w:p>
      <w:pPr>
        <w:pStyle w:val="BodyText"/>
      </w:pPr>
      <w:r>
        <w:rPr>
          <w:b/>
        </w:rPr>
        <w:t xml:space="preserve">3.2.8</w:t>
      </w:r>
      <w:r>
        <w:t xml:space="preserve"> Проверка требований 3.2.1–3.2.7 должна выполняться измерением скорости, формы, пикового напряжения и длительности импульсов, возвратных потерь, работоспособности при указанном затухании кабеля и осмотром гальванической развязки/защиты. Критерии — значения и диапазоны 3.2.1–3.2.5 и соответствие документам 3.2.7.</w:t>
      </w:r>
    </w:p>
    <w:p>
      <w:pPr>
        <w:pStyle w:val="BodyText"/>
      </w:pPr>
      <w:r>
        <w:rPr>
          <w:b/>
        </w:rPr>
        <w:t xml:space="preserve">3.2.9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пределы допускаемых погрешностей измерения скоростей, пикового напряжения, длительности импульса, возвратных потерь и затухания в исходных данных отсутствуют. Их должен установить головной исполнитель ОКР в ПМИ с учётом применимых нормативных документов. До установления этих пределов окончательное подтверждение требований 3.2.1–3.2.5 заблокировано; заданные номиналы, допуски и граничные значения изменению не подлежат.</w:t>
      </w:r>
    </w:p>
    <w:p>
      <w:pPr>
        <w:pStyle w:val="Heading2"/>
        <w:keepNext/>
      </w:pPr>
      <w:r>
        <w:t xml:space="preserve">3.3 Пакетная передача</w:t>
      </w:r>
    </w:p>
    <w:p>
      <w:pPr>
        <w:pStyle w:val="BodyText"/>
      </w:pPr>
      <w:r>
        <w:rPr>
          <w:b/>
        </w:rPr>
        <w:t xml:space="preserve">3.3.1</w:t>
      </w:r>
      <w:r>
        <w:t xml:space="preserve"> Для E3 должна быть реализована SAToP по RFC 4553: передача полного потока с управляющим словом и контролем последовательности.</w:t>
      </w:r>
    </w:p>
    <w:p>
      <w:pPr>
        <w:pStyle w:val="BodyText"/>
      </w:pPr>
      <w:r>
        <w:rPr>
          <w:b/>
        </w:rPr>
        <w:t xml:space="preserve">3.3.2</w:t>
      </w:r>
      <w:r>
        <w:t xml:space="preserve"> Для E2 должна быть реализована E2oP на архитектуре SAToP: передача полного потока с минимальной фиксированной задержкой.</w:t>
      </w:r>
    </w:p>
    <w:p>
      <w:pPr>
        <w:pStyle w:val="BodyText"/>
      </w:pPr>
      <w:r>
        <w:rPr>
          <w:b/>
        </w:rPr>
        <w:t xml:space="preserve">3.3.3</w:t>
      </w:r>
      <w:r>
        <w:t xml:space="preserve"> Пакетная передача должна осуществляться через Fabric 10GbE с обслуживанием Strict Priority QoS.</w:t>
      </w:r>
    </w:p>
    <w:p>
      <w:pPr>
        <w:pStyle w:val="BodyText"/>
      </w:pPr>
      <w:r>
        <w:rPr>
          <w:b/>
        </w:rPr>
        <w:t xml:space="preserve">3.3.4</w:t>
      </w:r>
      <w:r>
        <w:t xml:space="preserve"> Для каждого сервиса должен быть предусмотрен джиттер-буфер с регулируемым диапазоном 1–64 мс.</w:t>
      </w:r>
    </w:p>
    <w:p>
      <w:pPr>
        <w:pStyle w:val="BodyText"/>
      </w:pPr>
      <w:r>
        <w:rPr>
          <w:b/>
        </w:rPr>
        <w:t xml:space="preserve">3.3.5</w:t>
      </w:r>
      <w:r>
        <w:t xml:space="preserve"> При потере пакетов или аварии сети на соответствующем выходе должен непрерывно формироваться AIS.</w:t>
      </w:r>
    </w:p>
    <w:p>
      <w:pPr>
        <w:pStyle w:val="BodyText"/>
      </w:pPr>
      <w:r>
        <w:rPr>
          <w:b/>
        </w:rPr>
        <w:t xml:space="preserve">3.3.6</w:t>
      </w:r>
      <w:r>
        <w:t xml:space="preserve"> Проверка должна включать передачу E3 SAToP и двух E2 E2oP через Fabric 10GbE, контроль управляющего слова и последовательности для E3, перебор границ джиттер-буфера 1 и 64 мс, а также имитацию потери пакетов и аварии сети. Критерии — сохранение полного потока, применение Strict Priority QoS, доступность обеих границ настройки и непрерывный AIS на соответствующем выходе при каждом аварийном воздействии.</w:t>
      </w:r>
    </w:p>
    <w:p>
      <w:pPr>
        <w:pStyle w:val="BodyText"/>
      </w:pPr>
      <w:r>
        <w:rPr>
          <w:b/>
        </w:rPr>
        <w:t xml:space="preserve">3.3.7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числовое значение «минимальной фиксированной задержки», допустимая потеря пакетов и длительность до формирования AIS не заданы. Эти параметры должен определить головной исполнитель ОКР в ПМИ; без них проверка соответствующих временных характеристик 3.3.2 и 3.3.5 ограничивается подтверждением фиксированности задержки и факта непрерывного AIS.</w:t>
      </w:r>
    </w:p>
    <w:p>
      <w:pPr>
        <w:pStyle w:val="Heading2"/>
        <w:keepNext/>
      </w:pPr>
      <w:r>
        <w:t xml:space="preserve">3.4 Синхронизация</w:t>
      </w:r>
    </w:p>
    <w:p>
      <w:pPr>
        <w:pStyle w:val="BodyText"/>
      </w:pPr>
      <w:r>
        <w:rPr>
          <w:b/>
        </w:rPr>
        <w:t xml:space="preserve">3.4.1</w:t>
      </w:r>
      <w:r>
        <w:t xml:space="preserve"> Должен выполняться пересчёт TCLK 19,44 МГц в 8,448 МГц и 34,368 МГц.</w:t>
      </w:r>
    </w:p>
    <w:p>
      <w:pPr>
        <w:pStyle w:val="BodyText"/>
      </w:pPr>
      <w:r>
        <w:rPr>
          <w:b/>
        </w:rPr>
        <w:t xml:space="preserve">3.4.2</w:t>
      </w:r>
      <w:r>
        <w:t xml:space="preserve"> Должны поддерживаться ACR, DCR, Holdover и Loop timing.</w:t>
      </w:r>
    </w:p>
    <w:p>
      <w:pPr>
        <w:pStyle w:val="BodyText"/>
      </w:pPr>
      <w:r>
        <w:rPr>
          <w:b/>
        </w:rPr>
        <w:t xml:space="preserve">3.4.3</w:t>
      </w:r>
      <w:r>
        <w:t xml:space="preserve"> Частота любого выбранного входного порта должна выдаваться в RX_CLK. ПЛИС/DPLL базовой платы должна преобразовывать RX_CLK в 19,44 МГц для TCLK.</w:t>
      </w:r>
    </w:p>
    <w:p>
      <w:pPr>
        <w:pStyle w:val="BodyText"/>
      </w:pPr>
      <w:r>
        <w:rPr>
          <w:b/>
        </w:rPr>
        <w:t xml:space="preserve">3.4.4</w:t>
      </w:r>
      <w:r>
        <w:t xml:space="preserve"> Характеристики джиттера и вандера должны соответствовать ITU-T G.823.</w:t>
      </w:r>
    </w:p>
    <w:p>
      <w:pPr>
        <w:pStyle w:val="BodyText"/>
      </w:pPr>
      <w:r>
        <w:rPr>
          <w:b/>
        </w:rPr>
        <w:t xml:space="preserve">3.4.5</w:t>
      </w:r>
      <w:r>
        <w:t xml:space="preserve"> Проверка должна включать измерение выходных частот при TCLK 19,44 МГц, поочерёдный выбор каждого входного порта как источника RX_CLK, переключение ACR, DCR, Holdover и Loop timing и измерение джиттера/вандера по ITU-T G.823. Критерии — получение 8,448/34,368 МГц, выдача частоты каждого выбранного входа в RX_CLK, преобразование в TCLK 19,44 МГц и соответствие ITU-T G.823.</w:t>
      </w:r>
    </w:p>
    <w:p>
      <w:pPr>
        <w:pStyle w:val="BodyText"/>
      </w:pPr>
      <w:r>
        <w:rPr>
          <w:b/>
        </w:rPr>
        <w:t xml:space="preserve">3.4.6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условия переключения источников, продолжительность и точность Holdover, а также допустимое переходное поведение не заданы. Их должен определить головной исполнитель ОКР; до этого полная проверка переходных режимов заблокирована.</w:t>
      </w:r>
    </w:p>
    <w:p>
      <w:pPr>
        <w:pStyle w:val="Heading2"/>
        <w:keepNext/>
      </w:pPr>
      <w:r>
        <w:t xml:space="preserve">3.5 Диагностика и режимы контроля</w:t>
      </w:r>
    </w:p>
    <w:p>
      <w:pPr>
        <w:pStyle w:val="BodyText"/>
      </w:pPr>
      <w:r>
        <w:rPr>
          <w:b/>
        </w:rPr>
        <w:t xml:space="preserve">3.5.1</w:t>
      </w:r>
      <w:r>
        <w:t xml:space="preserve"> Для каждого порта должны контролироваться LOS, AIS, BPV/CV HDB3, переполнение и опустошение джиттер-буфера.</w:t>
      </w:r>
    </w:p>
    <w:p>
      <w:pPr>
        <w:pStyle w:val="BodyText"/>
      </w:pPr>
      <w:r>
        <w:rPr>
          <w:b/>
        </w:rPr>
        <w:t xml:space="preserve">3.5.2</w:t>
      </w:r>
      <w:r>
        <w:t xml:space="preserve"> Для каждого порта должны поддерживаться режимы Local Line Loopback, Payload Loopback и Packet Loopback.</w:t>
      </w:r>
    </w:p>
    <w:p>
      <w:pPr>
        <w:pStyle w:val="BodyText"/>
      </w:pPr>
      <w:r>
        <w:rPr>
          <w:b/>
        </w:rPr>
        <w:t xml:space="preserve">3.5.3</w:t>
      </w:r>
      <w:r>
        <w:t xml:space="preserve"> Должен быть предусмотрен генератор/анализатор PRBS 2</w:t>
      </w:r>
      <w:r>
        <w:rPr>
          <w:vertAlign w:val="superscript"/>
          <w:sz w:val="16"/>
        </w:rPr>
        <w:t xml:space="preserve">23</w:t>
      </w:r>
      <w:r>
        <w:t xml:space="preserve">−1 для измерения BER.</w:t>
      </w:r>
    </w:p>
    <w:p>
      <w:pPr>
        <w:pStyle w:val="BodyText"/>
      </w:pPr>
      <w:r>
        <w:rPr>
          <w:b/>
        </w:rPr>
        <w:t xml:space="preserve">3.5.4</w:t>
      </w:r>
      <w:r>
        <w:t xml:space="preserve"> Проверка должна включать поочерёдное внесение контролируемых аварий и ошибок на каждом порте, переполнение/опустошение буфера, активацию каждого вида петли и передачу PRBS 2</w:t>
      </w:r>
      <w:r>
        <w:rPr>
          <w:vertAlign w:val="superscript"/>
          <w:sz w:val="16"/>
        </w:rPr>
        <w:t xml:space="preserve">23</w:t>
      </w:r>
      <w:r>
        <w:t xml:space="preserve">−1. Критерий — регистрация соответствующего состояния, замыкание выбранной петли без активации другой и работоспособность генератора/анализатора BER.</w:t>
      </w:r>
    </w:p>
    <w:p>
      <w:pPr>
        <w:pStyle w:val="BodyText"/>
      </w:pPr>
      <w:r>
        <w:rPr>
          <w:b/>
        </w:rPr>
        <w:t xml:space="preserve">3.5.5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допустимое значение BER, длительность измерения, пороги регистрации BPV/CV и правила фиксации переполнения/опустошения не заданы. Их должен определить головной исполнитель ОКР в ПМИ. До этого количественная приёмка BER и диагностических порогов заблокирована.</w:t>
      </w:r>
    </w:p>
    <w:p>
      <w:pPr>
        <w:pStyle w:val="Heading2"/>
        <w:keepNext/>
      </w:pPr>
      <w:r>
        <w:t xml:space="preserve">3.6 Энергопотребление, конструкция и крепление</w:t>
      </w:r>
    </w:p>
    <w:p>
      <w:pPr>
        <w:pStyle w:val="BodyText"/>
      </w:pPr>
      <w:r>
        <w:rPr>
          <w:b/>
        </w:rPr>
        <w:t xml:space="preserve">3.6.1</w:t>
      </w:r>
      <w:r>
        <w:t xml:space="preserve"> Потребляемая мощность субплаты должна быть не более 15 Вт.</w:t>
      </w:r>
    </w:p>
    <w:p>
      <w:pPr>
        <w:pStyle w:val="BodyText"/>
      </w:pPr>
      <w:r>
        <w:rPr>
          <w:b/>
        </w:rPr>
        <w:t xml:space="preserve">3.6.2</w:t>
      </w:r>
      <w:r>
        <w:t xml:space="preserve"> Потребляемая мощность сборки должна быть не более 35 Вт.</w:t>
      </w:r>
    </w:p>
    <w:p>
      <w:pPr>
        <w:pStyle w:val="BodyText"/>
      </w:pPr>
      <w:r>
        <w:rPr>
          <w:b/>
        </w:rPr>
        <w:t xml:space="preserve">3.6.3</w:t>
      </w:r>
      <w:r>
        <w:t xml:space="preserve"> Конструкция сборки должна соответствовать Single Full-size AMC.0 и иметь габаритные размеры 73,5 × 180,6 × 28,95 мм.</w:t>
      </w:r>
    </w:p>
    <w:p>
      <w:pPr>
        <w:pStyle w:val="BodyText"/>
      </w:pPr>
      <w:r>
        <w:rPr>
          <w:b/>
        </w:rPr>
        <w:t xml:space="preserve">3.6.4</w:t>
      </w:r>
      <w:r>
        <w:t xml:space="preserve"> Межплатное крепление должно выполняться на 4–6 металлических стойках М2,5.</w:t>
      </w:r>
    </w:p>
    <w:p>
      <w:pPr>
        <w:pStyle w:val="BodyText"/>
      </w:pPr>
      <w:r>
        <w:rPr>
          <w:b/>
        </w:rPr>
        <w:t xml:space="preserve">3.6.5</w:t>
      </w:r>
      <w:r>
        <w:t xml:space="preserve"> Проверка должна выполняться измерением мощности субплаты и сборки в рабочих режимах, измерением габаритов, осмотром форм-фактора и подсчётом стоек. Критерии — требования 3.6.1–3.6.4.</w:t>
      </w:r>
    </w:p>
    <w:p>
      <w:pPr>
        <w:pStyle w:val="BodyText"/>
      </w:pPr>
      <w:r>
        <w:rPr>
          <w:b/>
        </w:rPr>
        <w:t xml:space="preserve">3.6.6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рабочий режим максимального потребления и пределы допускаемых погрешностей измерения мощности и габаритов не заданы. Их должен определить головной исполнитель ОКР в ПМИ; до этого окончательное подтверждение предельных значений 3.6.1–3.6.3 заблокировано.</w:t>
      </w:r>
    </w:p>
    <w:p>
      <w:pPr>
        <w:pStyle w:val="Heading2"/>
        <w:keepNext/>
      </w:pPr>
      <w:r>
        <w:t xml:space="preserve">3.7 Стойкость к внешним воздействиям и электромагнитная совместимость</w:t>
      </w:r>
    </w:p>
    <w:p>
      <w:pPr>
        <w:pStyle w:val="BodyText"/>
      </w:pPr>
      <w:r>
        <w:rPr>
          <w:b/>
        </w:rPr>
        <w:t xml:space="preserve">3.7.1</w:t>
      </w:r>
      <w:r>
        <w:t xml:space="preserve"> Изделие должно соответствовать ГОСТ РВ 20.39.304-98 для групп 1.1, 1.3, 1.4.1, исполнение «О».</w:t>
      </w:r>
    </w:p>
    <w:p>
      <w:pPr>
        <w:pStyle w:val="BodyText"/>
      </w:pPr>
      <w:r>
        <w:rPr>
          <w:b/>
        </w:rPr>
        <w:t xml:space="preserve">3.7.2</w:t>
      </w:r>
      <w:r>
        <w:t xml:space="preserve"> Рабочий диапазон температуры должен составлять от −10 до +50 °C.</w:t>
      </w:r>
    </w:p>
    <w:p>
      <w:pPr>
        <w:pStyle w:val="BodyText"/>
      </w:pPr>
      <w:r>
        <w:rPr>
          <w:b/>
        </w:rPr>
        <w:t xml:space="preserve">3.7.3</w:t>
      </w:r>
      <w:r>
        <w:t xml:space="preserve"> Предельный диапазон температуры должен составлять от −40 до +65 °C.</w:t>
      </w:r>
    </w:p>
    <w:p>
      <w:pPr>
        <w:pStyle w:val="BodyText"/>
      </w:pPr>
      <w:r>
        <w:rPr>
          <w:b/>
        </w:rPr>
        <w:t xml:space="preserve">3.7.4</w:t>
      </w:r>
      <w:r>
        <w:t xml:space="preserve"> Изделие должно быть стойким к синусоидальной вибрации 5g и ударам 15g.</w:t>
      </w:r>
    </w:p>
    <w:p>
      <w:pPr>
        <w:pStyle w:val="BodyText"/>
      </w:pPr>
      <w:r>
        <w:rPr>
          <w:b/>
        </w:rPr>
        <w:t xml:space="preserve">3.7.5</w:t>
      </w:r>
      <w:r>
        <w:t xml:space="preserve"> Радиопомехи должны соответствовать группе 1.1.1 ГОСТ В 25803-91.</w:t>
      </w:r>
    </w:p>
    <w:p>
      <w:pPr>
        <w:pStyle w:val="BodyText"/>
      </w:pPr>
      <w:r>
        <w:rPr>
          <w:b/>
        </w:rPr>
        <w:t xml:space="preserve">3.7.6</w:t>
      </w:r>
      <w:r>
        <w:t xml:space="preserve"> Проверка должна выполняться испытаниями по применимым методам ГОСТ РВ 20.39.304-98 и ГОСТ В 25803-91 с контролем функций 3.2–3.5. Критерии — сохранение работоспособности в рабочем температурном диапазоне, выполнение требований применимых групп при вибрации 5g и ударах 15g и соответствие радиопомех группе 1.1.1.</w:t>
      </w:r>
    </w:p>
    <w:p>
      <w:pPr>
        <w:pStyle w:val="BodyText"/>
      </w:pPr>
      <w:r>
        <w:rPr>
          <w:b/>
        </w:rPr>
        <w:t xml:space="preserve">3.7.7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длительности, направления и профили механических воздействий, скорости изменения температуры, выдержки и состояние изделия при предельных температурах в исходных данных не заданы. Они должны быть определены в ПМИ из непосредственно применимых положений указанных ГОСТ; до этого полная программа испытаний не является исполнимой.</w:t>
      </w:r>
    </w:p>
    <w:p>
      <w:pPr>
        <w:pStyle w:val="Heading2"/>
        <w:keepNext/>
      </w:pPr>
      <w:r>
        <w:t xml:space="preserve">3.8 Надёжность</w:t>
      </w:r>
    </w:p>
    <w:p>
      <w:pPr>
        <w:pStyle w:val="BodyText"/>
      </w:pPr>
      <w:r>
        <w:rPr>
          <w:b/>
        </w:rPr>
        <w:t xml:space="preserve">3.8.1</w:t>
      </w:r>
      <w:r>
        <w:t xml:space="preserve"> MTBF изделия должен быть не менее 15 000 ч.</w:t>
      </w:r>
    </w:p>
    <w:p>
      <w:pPr>
        <w:pStyle w:val="BodyText"/>
      </w:pPr>
      <w:r>
        <w:rPr>
          <w:b/>
        </w:rPr>
        <w:t xml:space="preserve">3.8.2</w:t>
      </w:r>
      <w:r>
        <w:t xml:space="preserve"> Назначенный срок службы изделия должен быть не менее 5 лет.</w:t>
      </w:r>
    </w:p>
    <w:p>
      <w:pPr>
        <w:pStyle w:val="BodyText"/>
      </w:pPr>
      <w:r>
        <w:rPr>
          <w:b/>
        </w:rPr>
        <w:t xml:space="preserve">3.8.3</w:t>
      </w:r>
      <w:r>
        <w:t xml:space="preserve"> Соответствие требованию 3.8.1 должно подтверждаться методом [уточнить: расчётным, расчётно-экспериментальным или экспериментальным; определяет головной исполнитель ОКР]. Соответствие 3.8.2 должно подтверждаться анализом РКД и обоснованием срока службы.</w:t>
      </w:r>
    </w:p>
    <w:p>
      <w:pPr>
        <w:pStyle w:val="BodyText"/>
      </w:pPr>
      <w:r>
        <w:rPr>
          <w:b/>
        </w:rPr>
        <w:t xml:space="preserve">3.8.4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условия, критерии отказа, доверительная вероятность и режимы, к которым относится MTBF, а также условия исчисления назначенного срока службы не заданы. Без этих сведений количественная проверка 3.8.1 и 3.8.2 заблокирована.</w:t>
      </w:r>
    </w:p>
    <w:p>
      <w:pPr>
        <w:pStyle w:val="Heading1"/>
        <w:jc w:val="center"/>
        <w:keepNext/>
      </w:pPr>
      <w:r>
        <w:t xml:space="preserve">4 Технико-экономические требования</w:t>
      </w:r>
    </w:p>
    <w:p>
      <w:pPr>
        <w:pStyle w:val="BodyText"/>
      </w:pPr>
      <w:r>
        <w:rPr>
          <w:b/>
        </w:rPr>
        <w:t xml:space="preserve">4.1</w:t>
      </w:r>
      <w:r>
        <w:t xml:space="preserve"> Технико-экономические требования к изделию не предъявляются.</w:t>
      </w:r>
    </w:p>
    <w:p>
      <w:pPr>
        <w:pStyle w:val="Heading1"/>
        <w:jc w:val="center"/>
        <w:keepNext/>
      </w:pPr>
      <w:r>
        <w:t xml:space="preserve">5 Требования к видам обеспечения</w:t>
      </w:r>
    </w:p>
    <w:p>
      <w:pPr>
        <w:pStyle w:val="Heading2"/>
        <w:keepNext/>
      </w:pPr>
      <w:r>
        <w:t xml:space="preserve">5.1 Нормативно-техническое обеспечение</w:t>
      </w:r>
    </w:p>
    <w:p>
      <w:pPr>
        <w:pStyle w:val="BodyText"/>
      </w:pPr>
      <w:r>
        <w:rPr>
          <w:b/>
        </w:rPr>
        <w:t xml:space="preserve">5.1.1</w:t>
      </w:r>
      <w:r>
        <w:t xml:space="preserve"> РКД, программная документация и ПМИ должны разрабатываться с применением документов, перечисленных в разделе «Применимые нормативные и справочные документы», в указанных там областях.</w:t>
      </w:r>
    </w:p>
    <w:p>
      <w:pPr>
        <w:pStyle w:val="BodyText"/>
      </w:pPr>
      <w:r>
        <w:rPr>
          <w:b/>
        </w:rPr>
        <w:t xml:space="preserve">5.1.2</w:t>
      </w:r>
      <w:r>
        <w:t xml:space="preserve"> Проверка — экспертиза комплектов документации на наличие ссылок и подтверждение реализации требований настоящего ТЗ.</w:t>
      </w:r>
    </w:p>
    <w:p>
      <w:pPr>
        <w:pStyle w:val="Heading2"/>
        <w:keepNext/>
      </w:pPr>
      <w:r>
        <w:t xml:space="preserve">5.2 Метрологическое обеспечение</w:t>
      </w:r>
    </w:p>
    <w:p>
      <w:pPr>
        <w:pStyle w:val="BodyText"/>
      </w:pPr>
      <w:r>
        <w:rPr>
          <w:b/>
        </w:rPr>
        <w:t xml:space="preserve">5.2.1</w:t>
      </w:r>
      <w:r>
        <w:t xml:space="preserve"> Должны быть предусмотрены средства и методики измерения формы и амплитуды импульсов по ITU-T G.703, возвратных потерь трактов 75 Ом, джиттера по ITU-T G.823 и BER.</w:t>
      </w:r>
    </w:p>
    <w:p>
      <w:pPr>
        <w:pStyle w:val="BodyText"/>
      </w:pPr>
      <w:r>
        <w:rPr>
          <w:b/>
        </w:rPr>
        <w:t xml:space="preserve">5.2.2</w:t>
      </w:r>
      <w:r>
        <w:t xml:space="preserve"> Методики не должны вводить допуски, отсутствующие в настоящем ТЗ или прямо применимых нормативных документах.</w:t>
      </w:r>
    </w:p>
    <w:p>
      <w:pPr>
        <w:pStyle w:val="BodyText"/>
      </w:pPr>
      <w:r>
        <w:rPr>
          <w:b/>
        </w:rPr>
        <w:t xml:space="preserve">5.2.3</w:t>
      </w:r>
      <w:r>
        <w:t xml:space="preserve"> Проверка — экспертиза ПМИ и состава средств измерений. До задания погрешностей, перечисленных в 3.2.9 и 3.6.6, метрологическое подтверждение соответствующих граничных требований заблокировано.</w:t>
      </w:r>
    </w:p>
    <w:p>
      <w:pPr>
        <w:pStyle w:val="Heading2"/>
        <w:keepNext/>
      </w:pPr>
      <w:r>
        <w:t xml:space="preserve">5.3 Диагностическое обеспечение</w:t>
      </w:r>
    </w:p>
    <w:p>
      <w:pPr>
        <w:pStyle w:val="BodyText"/>
      </w:pPr>
      <w:r>
        <w:rPr>
          <w:b/>
        </w:rPr>
        <w:t xml:space="preserve">5.3.1</w:t>
      </w:r>
      <w:r>
        <w:t xml:space="preserve"> Диагностическое обеспечение должно регистрировать LOS/AIS и BPV и формировать для РМО сообщения и отчёты.</w:t>
      </w:r>
    </w:p>
    <w:p>
      <w:pPr>
        <w:pStyle w:val="BodyText"/>
      </w:pPr>
      <w:r>
        <w:rPr>
          <w:b/>
        </w:rPr>
        <w:t xml:space="preserve">5.3.2</w:t>
      </w:r>
      <w:r>
        <w:t xml:space="preserve"> Проверка — поочерёдное формирование LOS, AIS и BPV на каждом порте и контроль регистрации события, сообщения и включения события в отчёт РМО.</w:t>
      </w:r>
    </w:p>
    <w:p>
      <w:pPr>
        <w:pStyle w:val="BodyText"/>
      </w:pPr>
      <w:r>
        <w:rPr>
          <w:b/>
        </w:rPr>
        <w:t xml:space="preserve">5.3.3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формат сообщений и отчётов, интерфейс передачи в РМО и правила хранения событий не заданы. Их должен предоставить головной исполнитель ОКР; до этого проверка интеграции с РМО заблокирована.</w:t>
      </w:r>
    </w:p>
    <w:p>
      <w:pPr>
        <w:pStyle w:val="Heading2"/>
        <w:keepNext/>
      </w:pPr>
      <w:r>
        <w:t xml:space="preserve">5.4 Программное обеспечение</w:t>
      </w:r>
    </w:p>
    <w:p>
      <w:pPr>
        <w:pStyle w:val="BodyText"/>
      </w:pPr>
      <w:r>
        <w:rPr>
          <w:b/>
        </w:rPr>
        <w:t xml:space="preserve">5.4.1</w:t>
      </w:r>
      <w:r>
        <w:t xml:space="preserve"> В состав программного обеспечения должны входить bitstream функционального модуля PDH для Flash базовой платы, драйверы Linux и MIB для РМО.</w:t>
      </w:r>
    </w:p>
    <w:p>
      <w:pPr>
        <w:pStyle w:val="BodyText"/>
      </w:pPr>
      <w:r>
        <w:rPr>
          <w:b/>
        </w:rPr>
        <w:t xml:space="preserve">5.4.2</w:t>
      </w:r>
      <w:r>
        <w:t xml:space="preserve"> Проверка — осмотр комплектности программных средств, загрузка bitstream из Flash и функциональная проверка драйверов Linux и MIB при выполнении команд и телеметрии раздела 8.</w:t>
      </w:r>
    </w:p>
    <w:p>
      <w:pPr>
        <w:pStyle w:val="BodyText"/>
      </w:pPr>
      <w:r>
        <w:rPr>
          <w:b/>
        </w:rPr>
        <w:t xml:space="preserve">5.4.3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версии Linux, интерфейсы драйверов, структура MIB и протокол взаимодействия с РМО не заданы. Их должен предоставить головной исполнитель ОКР; до этого полная проверка 5.4.1 заблокирована.</w:t>
      </w:r>
    </w:p>
    <w:p>
      <w:pPr>
        <w:pStyle w:val="Heading1"/>
        <w:jc w:val="center"/>
        <w:keepNext/>
      </w:pPr>
      <w:r>
        <w:t xml:space="preserve">6 Требования к сырью, материалам и комплектующим изделиям</w:t>
      </w:r>
    </w:p>
    <w:p>
      <w:pPr>
        <w:pStyle w:val="BodyText"/>
      </w:pPr>
      <w:r>
        <w:rPr>
          <w:b/>
        </w:rPr>
        <w:t xml:space="preserve">6.1</w:t>
      </w:r>
      <w:r>
        <w:t xml:space="preserve">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pStyle w:val="BodyText"/>
      </w:pPr>
      <w:r>
        <w:rPr>
          <w:b/>
        </w:rPr>
        <w:t xml:space="preserve">6.2</w:t>
      </w:r>
      <w:r>
        <w:t xml:space="preserve"> При отсутствии отечественных аналогов допускается применение импортной электронной компонентной базы промышленного температурного диапазона.</w:t>
      </w:r>
    </w:p>
    <w:p>
      <w:pPr>
        <w:pStyle w:val="BodyText"/>
      </w:pPr>
      <w:r>
        <w:rPr>
          <w:b/>
        </w:rPr>
        <w:t xml:space="preserve">6.3</w:t>
      </w:r>
      <w:r>
        <w:t xml:space="preserve"> Проверка — анализ перечня элементов, документов о приёмке ОТК и обоснований отсутствия отечественных аналогов для каждой импортной позиции; для импортной электронной компонентной базы должно быть подтверждено промышленное температурное исполнение.</w:t>
      </w:r>
    </w:p>
    <w:p>
      <w:pPr>
        <w:pStyle w:val="BodyText"/>
      </w:pPr>
      <w:r>
        <w:rPr>
          <w:b/>
        </w:rPr>
        <w:t xml:space="preserve">6.4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процедура подтверждения отсутствия отечественного аналога и границы промышленного температурного диапазона в исходных данных не заданы. Их должен установить головной исполнитель ОКР до утверждения перечня элементов.</w:t>
      </w:r>
    </w:p>
    <w:p>
      <w:pPr>
        <w:pStyle w:val="Heading1"/>
        <w:jc w:val="center"/>
        <w:keepNext/>
      </w:pPr>
      <w:r>
        <w:t xml:space="preserve">7 Требования к консервации, упаковке и маркировке</w:t>
      </w:r>
    </w:p>
    <w:p>
      <w:pPr>
        <w:pStyle w:val="BodyText"/>
      </w:pPr>
      <w:r>
        <w:rPr>
          <w:b/>
        </w:rPr>
        <w:t xml:space="preserve">7.1</w:t>
      </w:r>
      <w:r>
        <w:t xml:space="preserve"> На изделии должны быть нанесены децимальный номер, серийный номер и ревизия.</w:t>
      </w:r>
    </w:p>
    <w:p>
      <w:pPr>
        <w:pStyle w:val="BodyText"/>
      </w:pPr>
      <w:r>
        <w:rPr>
          <w:b/>
        </w:rPr>
        <w:t xml:space="preserve">7.2</w:t>
      </w:r>
      <w:r>
        <w:t xml:space="preserve"> Порты должны иметь маркировку E2-1, E2-2 и E3-1; адаптеры должны иметь маркировку TX и RX.</w:t>
      </w:r>
    </w:p>
    <w:p>
      <w:pPr>
        <w:pStyle w:val="BodyText"/>
      </w:pPr>
      <w:r>
        <w:rPr>
          <w:b/>
        </w:rPr>
        <w:t xml:space="preserve">7.3</w:t>
      </w:r>
      <w:r>
        <w:t xml:space="preserve"> Каждое изделие должно поставляться в индивидуальной таре с ESD-защитой.</w:t>
      </w:r>
    </w:p>
    <w:p>
      <w:pPr>
        <w:pStyle w:val="BodyText"/>
      </w:pPr>
      <w:r>
        <w:rPr>
          <w:b/>
        </w:rPr>
        <w:t xml:space="preserve">7.4</w:t>
      </w:r>
      <w:r>
        <w:t xml:space="preserve"> Срок хранения в заводской таре должен быть не менее 1 года по ГОСТ 15150.</w:t>
      </w:r>
    </w:p>
    <w:p>
      <w:pPr>
        <w:pStyle w:val="BodyText"/>
      </w:pPr>
      <w:r>
        <w:rPr>
          <w:b/>
        </w:rPr>
        <w:t xml:space="preserve">7.5</w:t>
      </w:r>
      <w:r>
        <w:t xml:space="preserve"> Проверка — визуальный контроль состава и читаемости маркировки, осмотр индивидуальной тары и подтверждение ESD-защиты, анализ документации на хранение по ГОСТ 15150.</w:t>
      </w:r>
    </w:p>
    <w:p>
      <w:pPr>
        <w:pStyle w:val="BodyText"/>
      </w:pPr>
      <w:r>
        <w:rPr>
          <w:b/>
        </w:rPr>
        <w:t xml:space="preserve">7.6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конкретные условия хранения по ГОСТ 15150, методы консервации и содержание маркировки тары сверх требований 7.1–7.3 не заданы. Их должен определить головной исполнитель ОКР; до этого проверка хранения 7.4 ограничивается документальным подтверждением срока 1 год и ссылки на ГОСТ 15150.</w:t>
      </w:r>
    </w:p>
    <w:p>
      <w:pPr>
        <w:pStyle w:val="Heading1"/>
        <w:jc w:val="center"/>
        <w:keepNext/>
      </w:pPr>
      <w:r>
        <w:t xml:space="preserve">8 Специальные требования</w:t>
      </w:r>
    </w:p>
    <w:p>
      <w:pPr>
        <w:pStyle w:val="BodyText"/>
      </w:pPr>
      <w:r>
        <w:rPr>
          <w:b/>
        </w:rPr>
        <w:t xml:space="preserve">8.1</w:t>
      </w:r>
      <w:r>
        <w:t xml:space="preserve"> Телеметрия РМО, реализуемая на C++/Qt, должна содержать мнемосхему портов и отображать LOS/AIS, BPV, состояние SAToP/E2oP и выбранный источник тактирования.</w:t>
      </w:r>
    </w:p>
    <w:p>
      <w:pPr>
        <w:pStyle w:val="BodyText"/>
      </w:pPr>
      <w:r>
        <w:rPr>
          <w:b/>
        </w:rPr>
        <w:t xml:space="preserve">8.2</w:t>
      </w:r>
      <w:r>
        <w:t xml:space="preserve"> РМО должно обеспечивать команды включения и отключения передатчиков, настройки джиттер-буфера, управления петлями и PRBS.</w:t>
      </w:r>
    </w:p>
    <w:p>
      <w:pPr>
        <w:pStyle w:val="BodyText"/>
      </w:pPr>
      <w:r>
        <w:rPr>
          <w:b/>
        </w:rPr>
        <w:t xml:space="preserve">8.3</w:t>
      </w:r>
      <w:r>
        <w:t xml:space="preserve"> При потере пакетов или аварии сети безопасным режимом интерфейса является непрерывное формирование AIS на соответствующем выходе согласно 3.3.5.</w:t>
      </w:r>
    </w:p>
    <w:p>
      <w:pPr>
        <w:pStyle w:val="BodyText"/>
      </w:pPr>
      <w:r>
        <w:rPr>
          <w:b/>
        </w:rPr>
        <w:t xml:space="preserve">8.4</w:t>
      </w:r>
      <w:r>
        <w:t xml:space="preserve"> Проверка должна включать отображение состояний всех трёх портов, поочерёдное формирование LOS/AIS и BPV, запуск SAToP/E2oP, переключение источника тактирования и выполнение каждой команды 8.2. Критерии — соответствие отображаемого состояния фактическому, выполнение адресованной команды только для выбранного порта/сервиса и непрерывный AIS в аварийном режиме.</w:t>
      </w:r>
    </w:p>
    <w:p>
      <w:pPr>
        <w:pStyle w:val="BodyText"/>
      </w:pPr>
      <w:r>
        <w:rPr>
          <w:b/>
        </w:rPr>
        <w:t xml:space="preserve">8.5</w:t>
      </w:r>
      <w:r>
        <w:t xml:space="preserve"> </w:t>
      </w:r>
      <w:r>
        <w:rPr>
          <w:b/>
        </w:rPr>
        <w:t xml:space="preserve">Требуется уточнение:</w:t>
      </w:r>
      <w:r>
        <w:t xml:space="preserve"> макеты экранов, перечень полей сообщений, права доступа, подтверждение команд и реакция при потере связи с РМО не заданы. Их должен предоставить головной исполнитель ОКР; до этого полная проверка интерфейса и отказоустойчивого поведения управления заблокирована.</w:t>
      </w:r>
    </w:p>
    <w:p>
      <w:r>
        <w:br w:type="page"/>
      </w:r>
    </w:p>
    <w:p>
      <w:pPr>
        <w:pStyle w:val="Heading1"/>
        <w:jc w:val="center"/>
        <w:keepNext/>
      </w:pPr>
      <w:r>
        <w:t xml:space="preserve">ПОДПИСИ РАЗРАБОТЧИКОВ И ДОПОЛНИТЕЛЬНЫЕ СОГЛАСОВАНИЯ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0" w:type="dxa"/>
          <w:left w:w="70" w:type="dxa"/>
          <w:bottom w:w="70" w:type="dxa"/>
          <w:right w:w="70" w:type="dxa"/>
        </w:tblCellMar>
      </w:tblPr>
      <w:tblGrid/>
      <w:tr>
        <w:tc>
          <w:tcPr>
            <w:tcW w:w="0" w:type="auto"/>
            <w:vAlign w:val="top"/>
            <w:shd w:val="clear" w:fill="D9E2F3"/>
          </w:tcPr>
          <w:p>
            <w:r>
              <w:t xml:space="preserve">Роль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Должность, организация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Подпись, инициалы, фамилия</w:t>
            </w:r>
          </w:p>
        </w:tc>
        <w:tc>
          <w:tcPr>
            <w:tcW w:w="0" w:type="auto"/>
            <w:vAlign w:val="top"/>
            <w:shd w:val="clear" w:fill="D9E2F3"/>
          </w:tcPr>
          <w:p>
            <w:r>
              <w:t xml:space="preserve">Дата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Разработал</w:t>
            </w:r>
          </w:p>
        </w:tc>
        <w:tc>
          <w:tcPr>
            <w:tcW w:w="0" w:type="auto"/>
            <w:vAlign w:val="top"/>
          </w:tcPr>
          <w:p>
            <w:r>
              <w:t xml:space="preserve">[уточнить], ООО «тушканчик»</w:t>
            </w:r>
          </w:p>
        </w:tc>
        <w:tc>
          <w:tcPr>
            <w:tcW w:w="0" w:type="auto"/>
            <w:vAlign w:val="top"/>
          </w:tcPr>
          <w:p>
            <w:r>
              <w:t xml:space="preserve">__________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Согласовано</w:t>
            </w:r>
          </w:p>
        </w:tc>
        <w:tc>
          <w:tcPr>
            <w:tcW w:w="0" w:type="auto"/>
            <w:vAlign w:val="top"/>
          </w:tcPr>
          <w:p>
            <w:r>
              <w:t xml:space="preserve">Головной исполнитель ОКР: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  <w:tr>
        <w:tc>
          <w:tcPr>
            <w:tcW w:w="0" w:type="auto"/>
            <w:vAlign w:val="top"/>
          </w:tcPr>
          <w:p>
            <w:r>
              <w:t xml:space="preserve">Согласовано</w:t>
            </w:r>
          </w:p>
        </w:tc>
        <w:tc>
          <w:tcPr>
            <w:tcW w:w="0" w:type="auto"/>
            <w:vAlign w:val="top"/>
          </w:tcPr>
          <w:p>
            <w:r>
              <w:t xml:space="preserve">Другие организации/службы: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__________ [уточнить]</w:t>
            </w:r>
          </w:p>
        </w:tc>
        <w:tc>
          <w:tcPr>
            <w:tcW w:w="0" w:type="auto"/>
            <w:vAlign w:val="top"/>
          </w:tcPr>
          <w:p>
            <w:r>
              <w:t xml:space="preserve">«___» __________ 20__ г.</w:t>
            </w:r>
          </w:p>
        </w:tc>
      </w:tr>
    </w:tbl>
    <w:sectPr>
      <w:headerReference w:type="default" r:id="rId1"/>
      <w:pgSz w:w="11906" w:h="16838"/>
      <w:pgMar w:top="1134" w:right="1134" w:bottom="1134" w:left="1417" w:header="567" w:footer="567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/>
        <w:sz w:val="24"/>
        <w:szCs w:val="24"/>
        <w:lang w:val="ru-RU"/>
      </w:rPr>
    </w:rPrDefault>
    <w:pPrDefault>
      <w:pPr>
        <w:spacing w:after="120" w:line="300" w:lineRule="auto"/>
        <w:jc w:val="both"/>
      </w:pPr>
    </w:pPrDefault>
  </w:docDefaults>
  <w:style w:type="paragraph" w:default="1" w:styleId="Normal">
    <w:name w:val="Обычный"/>
  </w:style>
  <w:style w:type="paragraph" w:styleId="BodyText">
    <w:name w:val="Основной текст"/>
    <w:basedOn w:val="Normal"/>
    <w:pPr>
      <w:jc w:val="both"/>
      <w:widowControl/>
    </w:pPr>
  </w:style>
  <w:style w:type="paragraph" w:styleId="TitleText">
    <w:name w:val="Титульный текст"/>
    <w:basedOn w:val="Normal"/>
    <w:pPr>
      <w:jc w:val="center"/>
      <w:spacing w:after="240"/>
    </w:pPr>
    <w:rPr>
      <w:sz w:val="28"/>
    </w:rPr>
  </w:style>
  <w:style w:type="paragraph" w:styleId="Heading1">
    <w:name w:val="Заголовок 1"/>
    <w:basedOn w:val="Normal"/>
    <w:next w:val="BodyText"/>
    <w:pPr>
      <w:keepNext/>
      <w:spacing w:before="280" w:after="200"/>
      <w:jc w:val="center"/>
      <w:outlineLvl w:val="0"/>
    </w:pPr>
    <w:rPr>
      <w:b/>
      <w:sz w:val="30"/>
    </w:rPr>
  </w:style>
  <w:style w:type="paragraph" w:styleId="Heading2">
    <w:name w:val="Заголовок 2"/>
    <w:basedOn w:val="Normal"/>
    <w:next w:val="BodyText"/>
    <w:pPr>
      <w:keepNext/>
      <w:spacing w:before="240" w:after="16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Open XML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составную часть ОКР «Развитие-ТСА»</dc:title>
  <dc:creator>ООО «тушканчик»</dc:creator>
  <dc:language>ru-RU</dc:language>
</cp:coreProperties>
</file>