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СОГЛАСОВАНО</w:t>
            </w:r>
            <w:r>
              <w:br/>
            </w:r>
            <w:r>
              <w:br/>
            </w:r>
            <w:r>
              <w:rPr/>
              <w:t xml:space="preserve">Заказчик (НИО заказчика)</w:t>
            </w:r>
            <w:r>
              <w:br/>
            </w:r>
            <w:r>
              <w:rPr/>
              <w:t xml:space="preserve">[уточнить]</w:t>
            </w:r>
            <w:r>
              <w:br/>
            </w:r>
            <w:r>
              <w:br/>
            </w:r>
            <w:r>
              <w:rPr/>
              <w:t xml:space="preserve">Подпись: —</w:t>
            </w:r>
            <w:r>
              <w:br/>
            </w:r>
            <w:r>
              <w:rPr/>
              <w:t xml:space="preserve">Инициалы, фамилия: [уточнить]</w:t>
            </w:r>
            <w:r>
              <w:br/>
            </w:r>
            <w:r>
              <w:br/>
            </w:r>
            <w:r>
              <w:rPr/>
              <w:t xml:space="preserve">«[уточнить]» [уточнить] 20[уточнить] г.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СОГЛАСОВАНО</w:t>
            </w:r>
            <w:r>
              <w:br/>
            </w:r>
            <w:r>
              <w:br/>
            </w:r>
            <w:r>
              <w:rPr/>
              <w:t xml:space="preserve">Исполнитель составной части ОКР</w:t>
            </w:r>
            <w:r>
              <w:br/>
            </w:r>
            <w:r>
              <w:rPr/>
              <w:t xml:space="preserve">ООО «тушканчик»</w:t>
            </w:r>
            <w:r>
              <w:br/>
            </w:r>
            <w:r>
              <w:br/>
            </w:r>
            <w:r>
              <w:rPr/>
              <w:t xml:space="preserve">Подпись: —</w:t>
            </w:r>
            <w:r>
              <w:br/>
            </w:r>
            <w:r>
              <w:rPr/>
              <w:t xml:space="preserve">Инициалы, фамилия: [уточнить]</w:t>
            </w:r>
            <w:r>
              <w:br/>
            </w:r>
            <w:r>
              <w:br/>
            </w:r>
            <w:r>
              <w:rPr/>
              <w:t xml:space="preserve">«[уточнить]» [уточнить] 20[уточнить] г.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УТВЕРЖДАЮ</w:t>
            </w:r>
            <w:r>
              <w:br/>
            </w:r>
            <w:r>
              <w:br/>
            </w:r>
            <w:r>
              <w:rPr/>
              <w:t xml:space="preserve">Головной исполнитель ОКР</w:t>
            </w:r>
            <w:r>
              <w:br/>
            </w:r>
            <w:r>
              <w:rPr/>
              <w:t xml:space="preserve">[уточнить]</w:t>
            </w:r>
            <w:r>
              <w:br/>
            </w:r>
            <w:r>
              <w:br/>
            </w:r>
            <w:r>
              <w:rPr/>
              <w:t xml:space="preserve">Подпись: —</w:t>
            </w:r>
            <w:r>
              <w:br/>
            </w:r>
            <w:r>
              <w:rPr/>
              <w:t xml:space="preserve">Инициалы, фамилия: [уточнить]</w:t>
            </w:r>
            <w:r>
              <w:br/>
            </w:r>
            <w:r>
              <w:br/>
            </w:r>
            <w:r>
              <w:rPr/>
              <w:t xml:space="preserve">«[уточнить]» [уточнить] 20[уточнить] г.</w:t>
            </w:r>
          </w:p>
        </w:tc>
      </w:tr>
    </w:tbl>
    <w:p>
      <w:pPr>
        <w:jc w:val="center"/>
      </w:pPr>
      <w:r>
        <w:rPr/>
        <w:t xml:space="preserve">ТЕХНИЧЕСКОЕ ЗАДАНИЕ</w:t>
      </w:r>
    </w:p>
    <w:p>
      <w:pPr>
        <w:jc w:val="center"/>
      </w:pPr>
      <w:r>
        <w:rPr/>
        <w:t xml:space="preserve">НА СОСТАВНУЮ ЧАСТЬ ОПЫТНО-КОНСТРУКТОРСКОЙ РАБОТЫ</w:t>
      </w:r>
    </w:p>
    <w:p>
      <w:pPr>
        <w:jc w:val="center"/>
      </w:pPr>
      <w:r>
        <w:rPr/>
        <w:t xml:space="preserve">Разработка сменной интерфейсной субплаты E2/E3 и функционального модуля PDH для универсального базового модуля AMC семейства ДММП</w:t>
      </w:r>
    </w:p>
    <w:p>
      <w:pPr>
        <w:jc w:val="center"/>
      </w:pPr>
      <w:r>
        <w:rPr/>
        <w:t xml:space="preserve">Шифр ОКР «Развитие-ТСА»</w:t>
      </w:r>
    </w:p>
    <w:p>
      <w:pPr>
        <w:jc w:val="center"/>
      </w:pPr>
      <w:r>
        <w:rPr/>
        <w:t xml:space="preserve">Обозначение составной части изделия: [уточнить]</w:t>
      </w:r>
    </w:p>
    <w:p>
      <w:pPr>
        <w:jc w:val="center"/>
      </w:pPr>
      <w:r>
        <w:rPr/>
        <w:t xml:space="preserve">Регистрационный номер: [уточнить]</w:t>
      </w:r>
    </w:p>
    <w:p>
      <w:r>
        <w:br w:type="page"/>
      </w:r>
    </w:p>
    <w:p>
      <w:pPr>
        <w:pStyle w:val="Heading1"/>
        <w:jc w:val="center"/>
      </w:pPr>
      <w:r>
        <w:rPr/>
        <w:t xml:space="preserve">Перечень обозначений, сокращений и терминов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Обозначение / термин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Значение в настоящем ТЗ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AMC</w:t>
            </w:r>
          </w:p>
        </w:tc>
        <w:tc>
          <w:tcPr>
            <w:tcW w:w="0" w:type="auto"/>
          </w:tcPr>
          <w:p>
            <w:pPr/>
            <w:r>
              <w:rPr/>
              <w:t xml:space="preserve">Форм-фактор модуля AMC.0; в настоящем ТЗ — модуль, устанавливаемый на Carrier платформы ДММП.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AIS</w:t>
            </w:r>
          </w:p>
        </w:tc>
        <w:tc>
          <w:tcPr>
            <w:tcW w:w="0" w:type="auto"/>
          </w:tcPr>
          <w:p>
            <w:pPr/>
            <w:r>
              <w:rPr/>
              <w:t xml:space="preserve">Сигнал аварийной индикации, непрерывно выдаваемый на выходе при потере пакетов или аварии сети.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ACR/DCR</w:t>
            </w:r>
          </w:p>
        </w:tc>
        <w:tc>
          <w:tcPr>
            <w:tcW w:w="0" w:type="auto"/>
          </w:tcPr>
          <w:p>
            <w:pPr/>
            <w:r>
              <w:rPr/>
              <w:t xml:space="preserve">Механизмы восстановления/распределения тактовой частоты, применяемые для синхронизации.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B2B</w:t>
            </w:r>
          </w:p>
        </w:tc>
        <w:tc>
          <w:tcPr>
            <w:tcW w:w="0" w:type="auto"/>
          </w:tcPr>
          <w:p>
            <w:pPr/>
            <w:r>
              <w:rPr/>
              <w:t xml:space="preserve">Межплатное соединение субплаты с базовой платой.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BER</w:t>
            </w:r>
          </w:p>
        </w:tc>
        <w:tc>
          <w:tcPr>
            <w:tcW w:w="0" w:type="auto"/>
          </w:tcPr>
          <w:p>
            <w:pPr/>
            <w:r>
              <w:rPr/>
              <w:t xml:space="preserve">Коэффициент битовых ошибок; измеряется генератором/анализатором PRBS 2</w:t>
            </w:r>
            <w:r>
              <w:rPr>
                <w:vertAlign w:val="superscript"/>
              </w:rPr>
              <w:t xml:space="preserve">23</w:t>
            </w:r>
            <w:r>
              <w:rPr/>
              <w:t xml:space="preserve">−1.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Board ID</w:t>
            </w:r>
          </w:p>
        </w:tc>
        <w:tc>
          <w:tcPr>
            <w:tcW w:w="0" w:type="auto"/>
          </w:tcPr>
          <w:p>
            <w:pPr/>
            <w:r>
              <w:rPr/>
              <w:t xml:space="preserve">Идентификатор субплаты, хранимый в EEPROM; для данной субплаты — </w:t>
            </w:r>
            <w:r>
              <w:rPr/>
              <w:t xml:space="preserve">0x03</w:t>
            </w:r>
            <w:r>
              <w:rPr/>
              <w:t xml:space="preserve">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BPV/CV</w:t>
            </w:r>
          </w:p>
        </w:tc>
        <w:tc>
          <w:tcPr>
            <w:tcW w:w="0" w:type="auto"/>
          </w:tcPr>
          <w:p>
            <w:pPr/>
            <w:r>
              <w:rPr/>
              <w:t xml:space="preserve">Контролируемые нарушения биполярности/кодовые нарушения HDB3.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Carrier</w:t>
            </w:r>
          </w:p>
        </w:tc>
        <w:tc>
          <w:tcPr>
            <w:tcW w:w="0" w:type="auto"/>
          </w:tcPr>
          <w:p>
            <w:pPr/>
            <w:r>
              <w:rPr/>
              <w:t xml:space="preserve">Плата-носитель платформы ДММП, на которую устанавливается AMC.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DPLL</w:t>
            </w:r>
          </w:p>
        </w:tc>
        <w:tc>
          <w:tcPr>
            <w:tcW w:w="0" w:type="auto"/>
          </w:tcPr>
          <w:p>
            <w:pPr/>
            <w:r>
              <w:rPr/>
              <w:t xml:space="preserve">Цифровая система фазовой автоподстройки частоты базовой платы, преобразующая частоту RX_CLK в 19,44 МГц для TCLK.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EEPROM</w:t>
            </w:r>
          </w:p>
        </w:tc>
        <w:tc>
          <w:tcPr>
            <w:tcW w:w="0" w:type="auto"/>
          </w:tcPr>
          <w:p>
            <w:pPr/>
            <w:r>
              <w:rPr/>
              <w:t xml:space="preserve">Энергонезависимая память субплаты для Board ID.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ESD</w:t>
            </w:r>
          </w:p>
        </w:tc>
        <w:tc>
          <w:tcPr>
            <w:tcW w:w="0" w:type="auto"/>
          </w:tcPr>
          <w:p>
            <w:pPr/>
            <w:r>
              <w:rPr/>
              <w:t xml:space="preserve">Защита от электростатического разряда; применяется для индивидуальной тары.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E2oP</w:t>
            </w:r>
          </w:p>
        </w:tc>
        <w:tc>
          <w:tcPr>
            <w:tcW w:w="0" w:type="auto"/>
          </w:tcPr>
          <w:p>
            <w:pPr/>
            <w:r>
              <w:rPr/>
              <w:t xml:space="preserve">Передача E2 по пакетной сети на архитектуре SAToP.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HDB3</w:t>
            </w:r>
          </w:p>
        </w:tc>
        <w:tc>
          <w:tcPr>
            <w:tcW w:w="0" w:type="auto"/>
          </w:tcPr>
          <w:p>
            <w:pPr/>
            <w:r>
              <w:rPr/>
              <w:t xml:space="preserve">Код линейного сигнала E2 и E3 по настоящему ТЗ.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LIU</w:t>
            </w:r>
          </w:p>
        </w:tc>
        <w:tc>
          <w:tcPr>
            <w:tcW w:w="0" w:type="auto"/>
          </w:tcPr>
          <w:p>
            <w:pPr/>
            <w:r>
              <w:rPr/>
              <w:t xml:space="preserve">Линейный интерфейсный узел субплаты.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LOS</w:t>
            </w:r>
          </w:p>
        </w:tc>
        <w:tc>
          <w:tcPr>
            <w:tcW w:w="0" w:type="auto"/>
          </w:tcPr>
          <w:p>
            <w:pPr/>
            <w:r>
              <w:rPr/>
              <w:t xml:space="preserve">Потеря входного сигнала линии.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MMC</w:t>
            </w:r>
          </w:p>
        </w:tc>
        <w:tc>
          <w:tcPr>
            <w:tcW w:w="0" w:type="auto"/>
          </w:tcPr>
          <w:p>
            <w:pPr/>
            <w:r>
              <w:rPr/>
              <w:t xml:space="preserve">Средства управления базовой платы, предоставляемые субплате.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MIB</w:t>
            </w:r>
          </w:p>
        </w:tc>
        <w:tc>
          <w:tcPr>
            <w:tcW w:w="0" w:type="auto"/>
          </w:tcPr>
          <w:p>
            <w:pPr/>
            <w:r>
              <w:rPr/>
              <w:t xml:space="preserve">Информационная база управления для РМО.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PDH</w:t>
            </w:r>
          </w:p>
        </w:tc>
        <w:tc>
          <w:tcPr>
            <w:tcW w:w="0" w:type="auto"/>
          </w:tcPr>
          <w:p>
            <w:pPr/>
            <w:r>
              <w:rPr/>
              <w:t xml:space="preserve">Функциональный модуль для интерфейсов E2 и E3.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ПЛИС</w:t>
            </w:r>
          </w:p>
        </w:tc>
        <w:tc>
          <w:tcPr>
            <w:tcW w:w="0" w:type="auto"/>
          </w:tcPr>
          <w:p>
            <w:pPr/>
            <w:r>
              <w:rPr/>
              <w:t xml:space="preserve">Программируемая логическая интегральная схема базовой платы.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ПМИ</w:t>
            </w:r>
          </w:p>
        </w:tc>
        <w:tc>
          <w:tcPr>
            <w:tcW w:w="0" w:type="auto"/>
          </w:tcPr>
          <w:p>
            <w:pPr/>
            <w:r>
              <w:rPr/>
              <w:t xml:space="preserve">Программа и методики испытаний.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РКД</w:t>
            </w:r>
          </w:p>
        </w:tc>
        <w:tc>
          <w:tcPr>
            <w:tcW w:w="0" w:type="auto"/>
          </w:tcPr>
          <w:p>
            <w:pPr/>
            <w:r>
              <w:rPr/>
              <w:t xml:space="preserve">Рабочая конструкторская документация.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РМО</w:t>
            </w:r>
          </w:p>
        </w:tc>
        <w:tc>
          <w:tcPr>
            <w:tcW w:w="0" w:type="auto"/>
          </w:tcPr>
          <w:p>
            <w:pPr/>
            <w:r>
              <w:rPr/>
              <w:t xml:space="preserve">Рабочее место оператора.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ОКР</w:t>
            </w:r>
          </w:p>
        </w:tc>
        <w:tc>
          <w:tcPr>
            <w:tcW w:w="0" w:type="auto"/>
          </w:tcPr>
          <w:p>
            <w:pPr/>
            <w:r>
              <w:rPr/>
              <w:t xml:space="preserve">Опытно-конструкторская работа.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PRBS</w:t>
            </w:r>
          </w:p>
        </w:tc>
        <w:tc>
          <w:tcPr>
            <w:tcW w:w="0" w:type="auto"/>
          </w:tcPr>
          <w:p>
            <w:pPr/>
            <w:r>
              <w:rPr/>
              <w:t xml:space="preserve">Псевдослучайная битовая последовательность.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QoS</w:t>
            </w:r>
          </w:p>
        </w:tc>
        <w:tc>
          <w:tcPr>
            <w:tcW w:w="0" w:type="auto"/>
          </w:tcPr>
          <w:p>
            <w:pPr/>
            <w:r>
              <w:rPr/>
              <w:t xml:space="preserve">Приоритет обслуживания трафика; в настоящем ТЗ — Strict Priority QoS.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SAToP</w:t>
            </w:r>
          </w:p>
        </w:tc>
        <w:tc>
          <w:tcPr>
            <w:tcW w:w="0" w:type="auto"/>
          </w:tcPr>
          <w:p>
            <w:pPr/>
            <w:r>
              <w:rPr/>
              <w:t xml:space="preserve">Передача синхронного потока по пакетной сети согласно RFC 4553.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TCLK</w:t>
            </w:r>
          </w:p>
        </w:tc>
        <w:tc>
          <w:tcPr>
            <w:tcW w:w="0" w:type="auto"/>
          </w:tcPr>
          <w:p>
            <w:pPr/>
            <w:r>
              <w:rPr/>
              <w:t xml:space="preserve">Тактовая частота 19,44 МГц базовой платы.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TDM-over-Packet</w:t>
            </w:r>
          </w:p>
        </w:tc>
        <w:tc>
          <w:tcPr>
            <w:tcW w:w="0" w:type="auto"/>
          </w:tcPr>
          <w:p>
            <w:pPr/>
            <w:r>
              <w:rPr/>
              <w:t xml:space="preserve">Передача временно-мультиплексированного потока по пакетной сети.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TX/RX</w:t>
            </w:r>
          </w:p>
        </w:tc>
        <w:tc>
          <w:tcPr>
            <w:tcW w:w="0" w:type="auto"/>
          </w:tcPr>
          <w:p>
            <w:pPr/>
            <w:r>
              <w:rPr/>
              <w:t xml:space="preserve">Цепи передачи/приёма соответствующего порта.</w:t>
            </w:r>
          </w:p>
        </w:tc>
      </w:tr>
    </w:tbl>
    <w:p>
      <w:pPr>
        <w:pStyle w:val="Heading1"/>
        <w:jc w:val="center"/>
      </w:pPr>
      <w:r>
        <w:rPr/>
        <w:t xml:space="preserve">Перечень применимых нормативных и справочных документов</w:t>
      </w:r>
    </w:p>
    <w:p>
      <w:pPr/>
      <w:r>
        <w:rPr/>
        <w:t xml:space="preserve">• ГОСТ 15.016-2016 — «Система разработки и постановки продукции на производство. Техническое задание. Требования к содержанию и оформлению» (применяется для построения и оформления ТЗ на СЧ ОКР).</w:t>
      </w:r>
    </w:p>
    <w:p>
      <w:pPr/>
      <w:r>
        <w:rPr/>
        <w:t xml:space="preserve">• ITU-T G.703.</w:t>
      </w:r>
    </w:p>
    <w:p>
      <w:pPr/>
      <w:r>
        <w:rPr/>
        <w:t xml:space="preserve">• ITU-T G.704.</w:t>
      </w:r>
    </w:p>
    <w:p>
      <w:pPr/>
      <w:r>
        <w:rPr/>
        <w:t xml:space="preserve">• ITU-T G.751.</w:t>
      </w:r>
    </w:p>
    <w:p>
      <w:pPr/>
      <w:r>
        <w:rPr/>
        <w:t xml:space="preserve">• ITU-T G.823.</w:t>
      </w:r>
    </w:p>
    <w:p>
      <w:pPr/>
      <w:r>
        <w:rPr/>
        <w:t xml:space="preserve">• RFC 4553.</w:t>
      </w:r>
    </w:p>
    <w:p>
      <w:pPr/>
      <w:r>
        <w:rPr/>
        <w:t xml:space="preserve">• PICMG AMC.0 R2.0.</w:t>
      </w:r>
    </w:p>
    <w:p>
      <w:pPr/>
      <w:r>
        <w:rPr/>
        <w:t xml:space="preserve">• ГОСТ РВ 20.39.304-98.</w:t>
      </w:r>
    </w:p>
    <w:p>
      <w:pPr/>
      <w:r>
        <w:rPr/>
        <w:t xml:space="preserve">• ГОСТ В 25803-91.</w:t>
      </w:r>
    </w:p>
    <w:p>
      <w:pPr/>
      <w:r>
        <w:rPr/>
        <w:t xml:space="preserve">• ГОСТ 2.114-2016.</w:t>
      </w:r>
    </w:p>
    <w:p>
      <w:pPr/>
      <w:r>
        <w:rPr/>
        <w:t xml:space="preserve">• ГОСТ РВ 15.201-2003.</w:t>
      </w:r>
    </w:p>
    <w:p>
      <w:pPr/>
      <w:r>
        <w:rPr/>
        <w:t xml:space="preserve">• ГОСТ 15150.</w:t>
      </w:r>
    </w:p>
    <w:p>
      <w:pPr>
        <w:pStyle w:val="Heading1"/>
        <w:jc w:val="center"/>
      </w:pPr>
      <w:r>
        <w:rPr/>
        <w:t xml:space="preserve">1. Наименование, шифр, основание, исполнители и сроки ОКР</w:t>
      </w:r>
    </w:p>
    <w:p>
      <w:pPr/>
      <w:r>
        <w:rPr/>
        <w:t xml:space="preserve">Наименование составной части ОКР: разработка сменной интерфейсной субплаты E2/E3 и функционального модуля PDH для универсального базового модуля AMC семейства ДММП.</w:t>
      </w:r>
    </w:p>
    <w:p>
      <w:pPr/>
      <w:r>
        <w:rPr/>
        <w:t xml:space="preserve">Шифр ОКР — «Развитие-ТСА».</w:t>
      </w:r>
    </w:p>
    <w:p>
      <w:pPr/>
      <w:r>
        <w:rPr/>
        <w:t xml:space="preserve">Основание выполнения: приказ об открытии инициативной ОКР № [уточнить] от [уточнить].</w:t>
      </w:r>
    </w:p>
    <w:p>
      <w:pPr/>
      <w:r>
        <w:rPr/>
        <w:t xml:space="preserve">Исполнитель составной части ОКР: ООО «тушканчик» (условное наименование из исходных данных). Головной исполнитель ОКР и заказчик: [уточнить].</w:t>
      </w:r>
    </w:p>
    <w:p>
      <w:pPr/>
      <w:r>
        <w:rPr/>
        <w:t xml:space="preserve">Сроки выполнения СЧ ОКР определяются утверждённым планом-графиком разработки РКД, программной документации, изготовления образцов и испытаний; календарные даты: [уточнить].</w:t>
      </w:r>
    </w:p>
    <w:p>
      <w:pPr/>
      <w:r>
        <w:rPr/>
        <w:t xml:space="preserve">Примечание. Проверка: соответствие наименования, шифра, основания, исполнителя и сроков утверждённому приказу и плану-графику. Номер и дата приказа, календарные сроки, заказчик и головной исполнитель отсутствуют в исходных данных; их вносит источник, утвердивший приказ и план-график.</w:t>
      </w:r>
    </w:p>
    <w:p>
      <w:pPr>
        <w:pStyle w:val="Heading1"/>
        <w:jc w:val="center"/>
      </w:pPr>
      <w:r>
        <w:rPr/>
        <w:t xml:space="preserve">2. Цель выполнения, наименование, назначение и область применения изделия</w:t>
      </w:r>
    </w:p>
    <w:p>
      <w:pPr/>
      <w:r>
        <w:rPr/>
        <w:t xml:space="preserve">Цель выполнения СЧ ОКР — подключение двух независимых потоков E2 и одного E3 к платформе ДММП через коаксиальные линии с обеспечением TDM-over-Packet, джиттер-буферизации и синхронизации.</w:t>
      </w:r>
    </w:p>
    <w:p>
      <w:pPr/>
      <w:r>
        <w:rPr/>
        <w:t xml:space="preserve">Изделие включает аппаратную и логическую части. Аппаратная часть — сменная субплата E2/E3 с интерфейсами, защитой, трансиверами и EEPROM. Логическая часть — функциональный модуль ПЛИС базовой платы, автоматически активируемый по Board ID.</w:t>
      </w:r>
    </w:p>
    <w:p>
      <w:pPr/>
      <w:r>
        <w:rPr/>
        <w:t xml:space="preserve">Субплата выполнена для установки AMC на Carrier платформы ДММП. Область применения: PDH-тракты 8 и 34 Мбит/с энергетики, железнодорожного транспорта и магистральных операторов.</w:t>
      </w:r>
    </w:p>
    <w:p>
      <w:pPr/>
      <w:r>
        <w:rPr/>
        <w:t xml:space="preserve">Примечание. Проверка: осмотр состава и установки AMC на Carrier; проверка автоматической активации функционального модуля по Board ID.</w:t>
      </w:r>
    </w:p>
    <w:p>
      <w:pPr>
        <w:pStyle w:val="Heading1"/>
        <w:jc w:val="center"/>
      </w:pPr>
      <w:r>
        <w:rPr/>
        <w:t xml:space="preserve">3. Технические требования к изделию</w:t>
      </w:r>
    </w:p>
    <w:p>
      <w:pPr>
        <w:pStyle w:val="Heading2"/>
      </w:pPr>
      <w:r>
        <w:rPr/>
        <w:t xml:space="preserve">3.1. Архитектура, разъёмы и кабели</w:t>
      </w:r>
    </w:p>
    <w:p>
      <w:pPr/>
      <w:r>
        <w:rPr/>
        <w:t xml:space="preserve">• Субплата должна подключаться к базовой плате через B2B.</w:t>
      </w:r>
    </w:p>
    <w:p>
      <w:pPr/>
      <w:r>
        <w:rPr/>
        <w:t xml:space="preserve">• На субплате должны быть установлены три экранированных вибростойких разъёма HARTING PushPull 09452812560 с замковой фиксацией: E2-1, E2-2 и E3-1.</w:t>
      </w:r>
    </w:p>
    <w:p>
      <w:pPr/>
      <w:r>
        <w:rPr/>
        <w:t xml:space="preserve">• Тракты должны иметь волновое сопротивление 75 Ом. Субплата должна содержать ВЧ-трансформаторы, LIU, EEPROM с Board ID 0x03 и светодиоды.</w:t>
      </w:r>
    </w:p>
    <w:p>
      <w:pPr/>
      <w:r>
        <w:rPr/>
        <w:t xml:space="preserve">• Базовая плата предоставляет субплате +12 В, +3,3 В, MMC и тактирование, а также автоматически загружает bitstream PDH из Flash.</w:t>
      </w:r>
    </w:p>
    <w:p>
      <w:pPr/>
      <w:r>
        <w:rPr/>
        <w:t xml:space="preserve">• Каждый разъём E2-1, E2-2 и E3-1 должен обслуживать отдельные коаксиальные цепи TX и RX с сопротивлением 75 Ом.</w:t>
      </w:r>
    </w:p>
    <w:p>
      <w:pPr/>
      <w:r>
        <w:rPr/>
        <w:t xml:space="preserve">• В комплект поставки и РКД должны быть включены экранированные адаптеры HARTING PushPull → две вилки BNC 75 Ом / DIN 1.0/2.3 с маркировкой TX/RX.</w:t>
      </w:r>
    </w:p>
    <w:p>
      <w:pPr/>
      <w:r>
        <w:rPr/>
        <w:t xml:space="preserve">• Применение BNC 50 Ом не допускается по импедансу и габаритам.</w:t>
      </w:r>
    </w:p>
    <w:p>
      <w:pPr/>
      <w:r>
        <w:rPr/>
        <w:t xml:space="preserve">Примечание. Проверка: осмотр состава субплаты, маркировки и комплектности РКД; измерение/контроль сопротивления трактов 75 Ом; проверка трёх отдельных цепей TX/RX; контроль отсутствия BNC 50 Ом; считывание Board ID 0x03; проверка питания, MMC, тактирования и автоматической загрузки bitstream из Flash.</w:t>
      </w:r>
    </w:p>
    <w:p>
      <w:pPr>
        <w:pStyle w:val="Heading2"/>
      </w:pPr>
      <w:r>
        <w:rPr/>
        <w:t xml:space="preserve">3.2. Электрические параметры интерфейсов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Параметр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E2 (два порта)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E3 (один порт)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Скорость</w:t>
            </w:r>
          </w:p>
        </w:tc>
        <w:tc>
          <w:tcPr>
            <w:tcW w:w="0" w:type="auto"/>
          </w:tcPr>
          <w:p>
            <w:pPr/>
            <w:r>
              <w:rPr/>
              <w:t xml:space="preserve">8448 кбит/с (8,448 Мбит/с) ±30 ppm</w:t>
            </w:r>
          </w:p>
        </w:tc>
        <w:tc>
          <w:tcPr>
            <w:tcW w:w="0" w:type="auto"/>
          </w:tcPr>
          <w:p>
            <w:pPr/>
            <w:r>
              <w:rPr/>
              <w:t xml:space="preserve">34 368 кбит/с (34,368 Мбит/с) ±20 ppm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Код и сопротивление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HDB3, 75 Ом</w:t>
            </w:r>
          </w:p>
        </w:tc>
        <w:tc>
          <w:tcPr>
            <w:tcW w:w="0" w:type="auto"/>
          </w:tcPr>
          <w:p>
            <w:pPr/>
            <w:r>
              <w:rPr/>
              <w:t xml:space="preserve">HDB3, 75 Ом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Пиковое напряжение / длительность</w:t>
            </w:r>
          </w:p>
        </w:tc>
        <w:tc>
          <w:tcPr>
            <w:tcW w:w="0" w:type="auto"/>
          </w:tcPr>
          <w:p>
            <w:pPr/>
            <w:r>
              <w:rPr/>
              <w:t xml:space="preserve">2,37 В / 59 нс</w:t>
            </w:r>
          </w:p>
        </w:tc>
        <w:tc>
          <w:tcPr>
            <w:tcW w:w="0" w:type="auto"/>
          </w:tcPr>
          <w:p>
            <w:pPr/>
            <w:r>
              <w:rPr/>
              <w:t xml:space="preserve">1,0 В / 14,55 нс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Возвратные потери входа/выхода</w:t>
            </w:r>
          </w:p>
        </w:tc>
        <w:tc>
          <w:tcPr>
            <w:tcW w:w="0" w:type="auto"/>
          </w:tcPr>
          <w:p>
            <w:pPr/>
            <w:r>
              <w:rPr/>
              <w:t xml:space="preserve">≥18 дБ, 422–8448 кГц</w:t>
            </w:r>
          </w:p>
        </w:tc>
        <w:tc>
          <w:tcPr>
            <w:tcW w:w="0" w:type="auto"/>
          </w:tcPr>
          <w:p>
            <w:pPr/>
            <w:r>
              <w:rPr/>
              <w:t xml:space="preserve">≥18 дБ, 1720–34 368 кГц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Допустимое затухание кабеля</w:t>
            </w:r>
          </w:p>
        </w:tc>
        <w:tc>
          <w:tcPr>
            <w:tcW w:w="0" w:type="auto"/>
          </w:tcPr>
          <w:p>
            <w:pPr/>
            <w:r>
              <w:rPr/>
              <w:t xml:space="preserve">до 6 дБ на 4224 кГц</w:t>
            </w:r>
          </w:p>
        </w:tc>
        <w:tc>
          <w:tcPr>
            <w:tcW w:w="0" w:type="auto"/>
          </w:tcPr>
          <w:p>
            <w:pPr/>
            <w:r>
              <w:rPr/>
              <w:t xml:space="preserve">до 12 дБ на 17 184 кГц</w:t>
            </w:r>
          </w:p>
        </w:tc>
      </w:tr>
    </w:tbl>
    <w:p>
      <w:pPr/>
      <w:r>
        <w:rPr/>
        <w:t xml:space="preserve">Для каждого порта должна быть предусмотрена трансформаторная гальваническая развязка и импульсная защита. Структура E2 — по ITU-T G.704; E3 — по ITU-T G.751; электрические параметры — по ITU-T G.703.</w:t>
      </w:r>
    </w:p>
    <w:p>
      <w:pPr/>
      <w:r>
        <w:rPr/>
        <w:t xml:space="preserve">Примечание. Проверка: измерение формы и амплитуды импульсов по ITU-T G.703; измерение скорости с указанными допусками; измерение возвратных потерь в указанных диапазонах; проверка работы при указанном затухании кабеля; осмотр трансформаторной развязки и импульсной защиты каждого порта. Допускаемая погрешность средств измерения в исходных данных не задана: [уточнить]; она требуется для завершения методики ПМИ.</w:t>
      </w:r>
    </w:p>
    <w:p>
      <w:pPr>
        <w:pStyle w:val="Heading2"/>
      </w:pPr>
      <w:r>
        <w:rPr/>
        <w:t xml:space="preserve">3.3. Пакетная передача, синхронизация и диагностика</w:t>
      </w:r>
    </w:p>
    <w:p>
      <w:pPr/>
      <w:r>
        <w:rPr/>
        <w:t xml:space="preserve">• Для E3 должна применяться SAToP по RFC 4553: полный поток с управляющим словом и контролем последовательности.</w:t>
      </w:r>
    </w:p>
    <w:p>
      <w:pPr/>
      <w:r>
        <w:rPr/>
        <w:t xml:space="preserve">• Для E2 должна применяться E2oP на архитектуре SAToP: полный поток с минимальной фиксированной задержкой.</w:t>
      </w:r>
    </w:p>
    <w:p>
      <w:pPr/>
      <w:r>
        <w:rPr/>
        <w:t xml:space="preserve">• Fabric должна быть 10GbE со Strict Priority QoS. Джиттер-буфер каждого сервиса должен настраиваться в диапазоне 1–64 мс.</w:t>
      </w:r>
    </w:p>
    <w:p>
      <w:pPr/>
      <w:r>
        <w:rPr/>
        <w:t xml:space="preserve">• При потере пакетов или аварии сети на выходе должен непрерывно формироваться AIS.</w:t>
      </w:r>
    </w:p>
    <w:p>
      <w:pPr/>
      <w:r>
        <w:rPr/>
        <w:t xml:space="preserve">• Должны поддерживаться пересчёт TCLK 19,44 МГц в 8,448/34,368 МГц, ACR/DCR, Holdover и Loop timing.</w:t>
      </w:r>
    </w:p>
    <w:p>
      <w:pPr/>
      <w:r>
        <w:rPr/>
        <w:t xml:space="preserve">• Частота любого входного порта должна выдаваться в RX_CLK; ПЛИС/DPLL базовой платы должна преобразовывать её в 19,44 МГц для TCLK.</w:t>
      </w:r>
    </w:p>
    <w:p>
      <w:pPr/>
      <w:r>
        <w:rPr/>
        <w:t xml:space="preserve">• Джиттер и вандер должны соответствовать ITU-T G.823.</w:t>
      </w:r>
    </w:p>
    <w:p>
      <w:pPr/>
      <w:r>
        <w:rPr/>
        <w:t xml:space="preserve">• Должен выполняться контроль LOS, AIS, BPV/CV HDB3, переполнения и опустошения буфера.</w:t>
      </w:r>
    </w:p>
    <w:p>
      <w:pPr/>
      <w:r>
        <w:rPr/>
        <w:t xml:space="preserve">• Для каждого порта должны быть Local Line, Payload и Packet Loopback.</w:t>
      </w:r>
    </w:p>
    <w:p>
      <w:pPr/>
      <w:r>
        <w:rPr/>
        <w:t xml:space="preserve">• Должен быть предусмотрен генератор/анализатор PRBS 223−1 для измерения BER.</w:t>
      </w:r>
    </w:p>
    <w:p>
      <w:pPr/>
      <w:r>
        <w:rPr/>
        <w:t xml:space="preserve">Примечание. Проверка: испытания E3 SAToP с управляющим словом и контролем последовательности, E2oP полного потока, Fabric 10GbE и Strict Priority QoS; настройка джиттер-буфера на границах 1 и 64 мс; имитация потери пакетов и аварии сети с наблюдением непрерывного AIS на выходе (безопасный режим); проверка TCLK, ACR/DCR, Holdover, Loop timing и цепи RX_CLK; измерение джиттера и вандера по ITU-T G.823; имитация/регистрация LOS, AIS, BPV/CV, переполнения и опустошения буфера; проверка трёх типов петли на каждом порту и PRBS 223−1 для BER. Численные пределы для джиттера, вандера, BER и «минимальной фиксированной задержки» в исходных данных не заданы: [уточнить]; они требуются для количественных критериев ПМИ.</w:t>
      </w:r>
    </w:p>
    <w:p>
      <w:pPr>
        <w:pStyle w:val="Heading2"/>
      </w:pPr>
      <w:r>
        <w:rPr/>
        <w:t xml:space="preserve">3.4. Мощность и конструкция</w:t>
      </w:r>
    </w:p>
    <w:p>
      <w:pPr/>
      <w:r>
        <w:rPr/>
        <w:t xml:space="preserve">• Потребляемая мощность субплаты — не более 15 Вт.</w:t>
      </w:r>
    </w:p>
    <w:p>
      <w:pPr/>
      <w:r>
        <w:rPr/>
        <w:t xml:space="preserve">• Потребляемая мощность сборки — не более 35 Вт.</w:t>
      </w:r>
    </w:p>
    <w:p>
      <w:pPr/>
      <w:r>
        <w:rPr/>
        <w:t xml:space="preserve">• Конструктивное исполнение — Single Full-size AMC.0, 73,5 × 180,6 × 28,95 мм.</w:t>
      </w:r>
    </w:p>
    <w:p>
      <w:pPr/>
      <w:r>
        <w:rPr/>
        <w:t xml:space="preserve">• Межплатное крепление — на 4–6 металлических стойках М2,5.</w:t>
      </w:r>
    </w:p>
    <w:p>
      <w:pPr/>
      <w:r>
        <w:rPr/>
        <w:t xml:space="preserve">Примечание. Проверка: измерение потребляемой мощности субплаты и сборки; контроль габаритов; осмотр исполнения Single Full-size AMC.0 и межплатного крепления на 4–6 металлических стойках М2,5.</w:t>
      </w:r>
    </w:p>
    <w:p>
      <w:pPr>
        <w:pStyle w:val="Heading2"/>
      </w:pPr>
      <w:r>
        <w:rPr/>
        <w:t xml:space="preserve">3.5. Стойкость к внешним воздействиям и электромагнитные требования</w:t>
      </w:r>
    </w:p>
    <w:p>
      <w:pPr/>
      <w:r>
        <w:rPr/>
        <w:t xml:space="preserve">• Изделие должно соответствовать ГОСТ РВ 20.39.304-98: группы 1.1, 1.3, 1.4.1, исполнение «О».</w:t>
      </w:r>
    </w:p>
    <w:p>
      <w:pPr/>
      <w:r>
        <w:rPr/>
        <w:t xml:space="preserve">• Рабочая температура: от −10 до +50 °C; предельная температура: от −40 до +65 °C.</w:t>
      </w:r>
    </w:p>
    <w:p>
      <w:pPr/>
      <w:r>
        <w:rPr/>
        <w:t xml:space="preserve">• Стойкость к синусоидальной вибрации — 5g; стойкость к ударам — 15g.</w:t>
      </w:r>
    </w:p>
    <w:p>
      <w:pPr/>
      <w:r>
        <w:rPr/>
        <w:t xml:space="preserve">• Требования по радиопомехам: группа 1.1.1 ГОСТ В 25803-91.</w:t>
      </w:r>
    </w:p>
    <w:p>
      <w:pPr/>
      <w:r>
        <w:rPr/>
        <w:t xml:space="preserve">Примечание. Проверка: испытания на соответствие указанным группам ГОСТ РВ 20.39.304-98, температурам, синусоидальной вибрации 5g, ударам 15g и группе радиопомех 1.1.1 ГОСТ В 25803-91. Режимы и критерии, кроме приведённых значений, определяются применимыми документами и ПМИ.</w:t>
      </w:r>
    </w:p>
    <w:p>
      <w:pPr>
        <w:pStyle w:val="Heading2"/>
      </w:pPr>
      <w:r>
        <w:rPr/>
        <w:t xml:space="preserve">3.6. Надёжность</w:t>
      </w:r>
    </w:p>
    <w:p>
      <w:pPr/>
      <w:r>
        <w:rPr/>
        <w:t xml:space="preserve">• Средняя наработка на отказ — не менее 15 000 ч.</w:t>
      </w:r>
    </w:p>
    <w:p>
      <w:pPr/>
      <w:r>
        <w:rPr/>
        <w:t xml:space="preserve">• Назначенный срок службы — не менее 5 лет.</w:t>
      </w:r>
    </w:p>
    <w:p>
      <w:pPr/>
      <w:r>
        <w:rPr/>
        <w:t xml:space="preserve">Примечание. Проверка: оценка средней наработки на отказ и назначенного срока службы по документации и методам, установленным ПМИ. Метод оценки, состав исходных данных и критерии выборки в исходных данных не заданы: [уточнить].</w:t>
      </w:r>
    </w:p>
    <w:p>
      <w:pPr>
        <w:pStyle w:val="Heading1"/>
        <w:jc w:val="center"/>
      </w:pPr>
      <w:r>
        <w:rPr/>
        <w:t xml:space="preserve">4. Технико-экономические требования</w:t>
      </w:r>
    </w:p>
    <w:p>
      <w:pPr/>
      <w:r>
        <w:rPr/>
        <w:t xml:space="preserve">Технико-экономические требования не предъявляются.</w:t>
      </w:r>
    </w:p>
    <w:p>
      <w:pPr>
        <w:pStyle w:val="Heading1"/>
        <w:jc w:val="center"/>
      </w:pPr>
      <w:r>
        <w:rPr/>
        <w:t xml:space="preserve">5. Требования к видам обеспечения</w:t>
      </w:r>
    </w:p>
    <w:p>
      <w:pPr>
        <w:pStyle w:val="Heading2"/>
      </w:pPr>
      <w:r>
        <w:rPr/>
        <w:t xml:space="preserve">5.1. Нормативное обеспечение</w:t>
      </w:r>
    </w:p>
    <w:p>
      <w:pPr/>
      <w:r>
        <w:rPr/>
        <w:t xml:space="preserve">При разработке должны применяться документы, приведённые в перечне применимых нормативных и справочных документов настоящего ТЗ.</w:t>
      </w:r>
    </w:p>
    <w:p>
      <w:pPr>
        <w:pStyle w:val="Heading2"/>
      </w:pPr>
      <w:r>
        <w:rPr/>
        <w:t xml:space="preserve">5.2. Метрологическое обеспечение</w:t>
      </w:r>
    </w:p>
    <w:p>
      <w:pPr/>
      <w:r>
        <w:rPr/>
        <w:t xml:space="preserve">Должны быть предусмотрены средства и методики измерения формы и амплитуды импульсов по ITU-T G.703, возвратных потерь 75 Ом, джиттера по ITU-T G.823 и BER. Незаданные допуски не устанавливаются.</w:t>
      </w:r>
    </w:p>
    <w:p>
      <w:pPr>
        <w:pStyle w:val="Heading2"/>
      </w:pPr>
      <w:r>
        <w:rPr/>
        <w:t xml:space="preserve">5.3. Диагностическое обеспечение</w:t>
      </w:r>
    </w:p>
    <w:p>
      <w:pPr/>
      <w:r>
        <w:rPr/>
        <w:t xml:space="preserve">Должны обеспечиваться регистрация LOS/AIS и BPV, формирование сообщений и отчётов для РМО.</w:t>
      </w:r>
    </w:p>
    <w:p>
      <w:pPr>
        <w:pStyle w:val="Heading2"/>
      </w:pPr>
      <w:r>
        <w:rPr/>
        <w:t xml:space="preserve">5.4. Программное обеспечение</w:t>
      </w:r>
    </w:p>
    <w:p>
      <w:pPr/>
      <w:r>
        <w:rPr/>
        <w:t xml:space="preserve">Должны быть разработаны bitstream функционального модуля для Flash базовой платы, драйверы Linux и MIB для РМО.</w:t>
      </w:r>
    </w:p>
    <w:p>
      <w:pPr/>
      <w:r>
        <w:rPr/>
        <w:t xml:space="preserve">Примечание. Проверка: анализ состава нормативного, метрологического, диагностического и программного обеспечения; проверка средств/методик измерений, регистрации, сообщений, отчётов, bitstream, драйверов Linux и MIB. Состав сообщений, отчётов и MIB не задан: [уточнить]; требуется для детальной проверки РМО.</w:t>
      </w:r>
    </w:p>
    <w:p>
      <w:pPr>
        <w:pStyle w:val="Heading1"/>
        <w:jc w:val="center"/>
      </w:pPr>
      <w:r>
        <w:rPr/>
        <w:t xml:space="preserve">6. Требования к сырью, материалам и комплектующим изделиям</w:t>
      </w:r>
    </w:p>
    <w:p>
      <w:pPr/>
      <w:r>
        <w:rPr/>
        <w:t xml:space="preserve">Должен обеспечиваться приоритет отечественных материалов и комплектующих изделий с приёмкой ОТК. При отсутствии аналогов допускается применение импортной ЭКБ промышленного температурного диапазона.</w:t>
      </w:r>
    </w:p>
    <w:p>
      <w:pPr/>
      <w:r>
        <w:rPr/>
        <w:t xml:space="preserve">Примечание. Проверка: анализ перечня материалов и комплектующих, документов приёмки ОТК и обоснований отсутствия отечественных аналогов для применённой импортной ЭКБ.</w:t>
      </w:r>
    </w:p>
    <w:p>
      <w:pPr>
        <w:pStyle w:val="Heading1"/>
        <w:jc w:val="center"/>
      </w:pPr>
      <w:r>
        <w:rPr/>
        <w:t xml:space="preserve">7. Требования к консервации, упаковке и маркировке</w:t>
      </w:r>
    </w:p>
    <w:p>
      <w:pPr/>
      <w:r>
        <w:rPr/>
        <w:t xml:space="preserve">• На изделие должны быть нанесены децимальный номер, серийный номер и ревизия.</w:t>
      </w:r>
    </w:p>
    <w:p>
      <w:pPr/>
      <w:r>
        <w:rPr/>
        <w:t xml:space="preserve">• Должна быть выполнена маркировка E2-1, E2-2, E3-1.</w:t>
      </w:r>
    </w:p>
    <w:p>
      <w:pPr/>
      <w:r>
        <w:rPr/>
        <w:t xml:space="preserve">• Должна быть предусмотрена индивидуальная тара с ESD-защитой.</w:t>
      </w:r>
    </w:p>
    <w:p>
      <w:pPr/>
      <w:r>
        <w:rPr/>
        <w:t xml:space="preserve">• Хранение в заводской таре — не менее 1 года по ГОСТ 15150.</w:t>
      </w:r>
    </w:p>
    <w:p>
      <w:pPr/>
      <w:r>
        <w:rPr/>
        <w:t xml:space="preserve">Условия и методы консервации в исходных данных не заданы: [уточнить]. Данное ТЗ не устанавливает их дополнительно.</w:t>
      </w:r>
    </w:p>
    <w:p>
      <w:pPr/>
      <w:r>
        <w:rPr/>
        <w:t xml:space="preserve">Примечание. Проверка: осмотр маркировки и индивидуальной ESD-тары; проверка документации хранения в заводской таре не менее 1 года по ГОСТ 15150. Условия консервации подлежат уточнению источником исходных данных.</w:t>
      </w:r>
    </w:p>
    <w:p>
      <w:pPr>
        <w:pStyle w:val="Heading1"/>
        <w:jc w:val="center"/>
      </w:pPr>
      <w:r>
        <w:rPr/>
        <w:t xml:space="preserve">8. Специальные требования</w:t>
      </w:r>
    </w:p>
    <w:p>
      <w:pPr>
        <w:pStyle w:val="Heading2"/>
      </w:pPr>
      <w:r>
        <w:rPr/>
        <w:t xml:space="preserve">8.1. Телеметрия РМО</w:t>
      </w:r>
    </w:p>
    <w:p>
      <w:pPr/>
      <w:r>
        <w:rPr/>
        <w:t xml:space="preserve">В РМО C++/Qt должна быть предусмотрена мнемосхема портов с отображением LOS/AIS, BPV, SAToP/E2oP и источника тактирования.</w:t>
      </w:r>
    </w:p>
    <w:p>
      <w:pPr>
        <w:pStyle w:val="Heading2"/>
      </w:pPr>
      <w:r>
        <w:rPr/>
        <w:t xml:space="preserve">8.2. Команды управления</w:t>
      </w:r>
    </w:p>
    <w:p>
      <w:pPr/>
      <w:r>
        <w:rPr/>
        <w:t xml:space="preserve">Должны поддерживаться команды включения/отключения передатчиков, настройки джиттер-буфера, управления петлями и PRBS.</w:t>
      </w:r>
    </w:p>
    <w:p>
      <w:pPr/>
      <w:r>
        <w:rPr/>
        <w:t xml:space="preserve">Примечание. Проверка: функциональная проверка мнемосхемы РМО C++/Qt при событиях LOS/AIS, BPV, SAToP/E2oP и изменении источника тактирования; выполнение всех команд. Безопасное поведение при отключении передатчика исходными данными не определено: [уточнить].</w:t>
      </w:r>
    </w:p>
    <w:p>
      <w:r>
        <w:br w:type="page"/>
      </w:r>
    </w:p>
    <w:p>
      <w:pPr>
        <w:pStyle w:val="Heading1"/>
        <w:jc w:val="center"/>
      </w:pPr>
      <w:r>
        <w:rPr/>
        <w:t xml:space="preserve">Лист согласования</w:t>
      </w:r>
    </w:p>
    <w:p>
      <w:pPr/>
      <w:r>
        <w:rPr/>
        <w:t xml:space="preserve">Разработчик ТЗ: ООО «тушканчик»</w:t>
      </w:r>
    </w:p>
    <w:p>
      <w:pPr/>
      <w:r>
        <w:rPr/>
        <w:t xml:space="preserve">Должность: [уточнить]</w:t>
      </w:r>
    </w:p>
    <w:p>
      <w:pPr/>
      <w:r>
        <w:rPr/>
        <w:t xml:space="preserve">Подпись: —      Инициалы, фамилия: [уточнить]</w:t>
      </w:r>
    </w:p>
    <w:p>
      <w:pPr/>
      <w:r>
        <w:rPr/>
        <w:t xml:space="preserve">«[уточнить]» [уточнить] 20[уточнить] г.</w:t>
      </w:r>
    </w:p>
    <w:p>
      <w:pPr/>
      <w:r>
        <w:rPr>
          <w:b/>
        </w:rPr>
        <w:t xml:space="preserve">СОГЛАСОВАНО</w:t>
      </w:r>
    </w:p>
    <w:p>
      <w:pPr/>
      <w:r>
        <w:rPr/>
        <w:t xml:space="preserve">Головной исполнитель ОКР: [уточнить]</w:t>
      </w:r>
    </w:p>
    <w:p>
      <w:pPr/>
      <w:r>
        <w:rPr/>
        <w:t xml:space="preserve">Должность: [уточнить]</w:t>
      </w:r>
    </w:p>
    <w:p>
      <w:pPr/>
      <w:r>
        <w:rPr/>
        <w:t xml:space="preserve">Подпись: —      Инициалы, фамилия: [уточнить]</w:t>
      </w:r>
    </w:p>
    <w:p>
      <w:pPr/>
      <w:r>
        <w:rPr/>
        <w:t xml:space="preserve">«[уточнить]» [уточнить] 20[уточнить] г.</w:t>
      </w:r>
    </w:p>
    <w:p>
      <w:pPr/>
      <w:r>
        <w:rPr>
          <w:b/>
        </w:rPr>
        <w:t xml:space="preserve">СОГЛАСОВАНО</w:t>
      </w:r>
    </w:p>
    <w:p>
      <w:pPr/>
      <w:r>
        <w:rPr/>
        <w:t xml:space="preserve">Другие организации, согласующие ТЗ: [уточнить]</w:t>
      </w:r>
    </w:p>
    <w:p>
      <w:pPr/>
      <w:r>
        <w:rPr/>
        <w:t xml:space="preserve">Должность: [уточнить]</w:t>
      </w:r>
    </w:p>
    <w:p>
      <w:pPr/>
      <w:r>
        <w:rPr/>
        <w:t xml:space="preserve">Подпись: —      Инициалы, фамилия: [уточнить]</w:t>
      </w:r>
    </w:p>
    <w:p>
      <w:pPr/>
      <w:r>
        <w:rPr/>
        <w:t xml:space="preserve">«[уточнить]» [уточнить] 20[уточнить] г.</w:t>
      </w:r>
    </w:p>
    <w:sectPr>
      <w:pgSz w:w="11906" w:h="16838"/>
      <w:pgMar w:top="1020" w:right="907" w:bottom="1020" w:left="1247" w:header="500" w:footer="500" w:gutter="0"/>
      <w:headerReference w:type="default" r:id="rId1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>PAGE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</w:docDefaults>
  <w:style w:type="paragraph" w:default="1" w:styleId="Normal">
    <w:name w:val="Normal"/>
    <w:pPr>
      <w:jc w:val="both"/>
      <w:spacing w:after="80" w:line="276" w:lineRule="auto"/>
    </w:pPr>
  </w:style>
  <w:style w:type="paragraph" w:styleId="Heading1">
    <w:name w:val="Heading 1"/>
    <w:basedOn w:val="Normal"/>
    <w:rPr>
      <w:b/>
      <w:sz w:val="28"/>
    </w:rPr>
    <w:pPr>
      <w:keepNext/>
    </w:pPr>
  </w:style>
  <w:style w:type="paragraph" w:styleId="Heading2">
    <w:name w:val="Heading 2"/>
    <w:basedOn w:val="Normal"/>
    <w:rPr>
      <w:b/>
      <w:sz w:val="24"/>
    </w:rPr>
    <w:pPr>
      <w:keepNext/>
    </w:pPr>
  </w:style>
  <w:style w:type="paragraph" w:styleId="Heading3">
    <w:name w:val="Heading 3"/>
    <w:basedOn w:val="Normal"/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Техническое задание — Развитие-ТСА</dc:title>
  <dc:language>ru-RU</dc:language>
</cp:coreProperties>
</file>