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СОГЛАСОВАНОЗаказчик / НИО заказчикадолжность, организация__________ / [уточнить ФИО]«___» __________ 20__ г.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УТВЕРЖДЕНОГоловной исполнитель ОКРдолжность, организация__________ / [уточнить ФИО]«___» __________ 20__ г.</w:t>
            </w:r>
          </w:p>
        </w:tc>
      </w:tr>
    </w:tbl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ТЕХНИЧЕСКОЕ ЗАДАНИЕ</w:t>
      </w:r>
      <w:br/>
      <w:r>
        <w:rPr>
          <w:b/>
          <w:bCs/>
          <w:sz w:val="28"/>
          <w:szCs w:val="28"/>
        </w:rPr>
        <w:t xml:space="preserve">НА СОСТАВНУЮ ЧАСТЬ ОКР</w:t>
      </w:r>
    </w:p>
    <w:p>
      <w:pPr>
        <w:pStyle w:val="Normal"/>
      </w:pPr>
      <w:r>
        <w:rPr>
          <w:sz w:val="22"/>
          <w:szCs w:val="22"/>
        </w:rPr>
        <w:t xml:space="preserve"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pStyle w:val="Normal"/>
      </w:pPr>
      <w:r>
        <w:rPr>
          <w:sz w:val="22"/>
          <w:szCs w:val="22"/>
        </w:rPr>
        <w:t xml:space="preserve">Шифр ОКР: «Развитие-ТСА»</w:t>
      </w:r>
    </w:p>
    <w:p>
      <w:pPr>
        <w:pStyle w:val="Normal"/>
      </w:pPr>
      <w:r>
        <w:rPr>
          <w:sz w:val="22"/>
          <w:szCs w:val="22"/>
        </w:rPr>
        <w:t xml:space="preserve">Обозначение изделия: [уточнить]</w:t>
      </w:r>
    </w:p>
    <w:p>
      <w:pPr>
        <w:pStyle w:val="Normal"/>
      </w:pPr>
      <w:r>
        <w:rPr>
          <w:sz w:val="22"/>
          <w:szCs w:val="22"/>
        </w:rPr>
        <w:t xml:space="preserve">Регистрационный номер: [уточнить]</w:t>
      </w:r>
    </w:p>
    <w:p>
      <w:pPr>
        <w:pStyle w:val="Normal"/>
      </w:pPr>
      <w:r>
        <w:rPr>
          <w:sz w:val="22"/>
          <w:szCs w:val="22"/>
        </w:rPr>
        <w:t xml:space="preserve">[уточнить место] — 20__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ЛИСТ СОГЛАСОВАНИЯ</w:t>
      </w:r>
    </w:p>
    <w:p>
      <w:pPr>
        <w:pStyle w:val="Normal"/>
      </w:pPr>
      <w:r>
        <w:rPr>
          <w:sz w:val="22"/>
          <w:szCs w:val="22"/>
        </w:rPr>
        <w:t xml:space="preserve">Настоящее ТЗ на составную часть ОКР подлежит согласованию с заказчиком либо НИО заказчика, исполнителем составной части ОКР и другими организациями (предприятиями) по решению заказчика или головного исполнителя ОКР, согласованному с заказчиком.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Организация / должность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Подпись, инициалы, фамилия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Заказчик / НИО заказчика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Исполнитель СЧ 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Другие согласующие организации (при необходимости)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Головной исполнитель ОКР — утверждение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</w:tbl>
    <w:p>
      <w:pPr>
        <w:pStyle w:val="Normal"/>
      </w:pPr>
      <w:r>
        <w:rPr>
          <w:sz w:val="22"/>
          <w:szCs w:val="22"/>
        </w:rPr>
        <w:t xml:space="preserve">Примечание. Конкретные организации, должности, ФИО, подписи и даты в исходных данных не заданы и подлежат уточнению.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ОБОЗНАЧЕНИЯ И СОКРАЩЕНИЯ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Обозначение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Расшифровка / пояснение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AMC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 исходных данных расшифровка не приведена; официальную расшифровку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ПЛИС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B2B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 исходных данных расшифровка не приведена; официальную расшифровку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Board ID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Идентификатор платы;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MMC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 исходных данных расшифровка не приведена; официальную расшифровку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РМО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 исходных данных расшифровка не приведена; официальную расшифровку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Опытно-конструкторская работа.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РКД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Рабочая конструкторская документация.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ПМИ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 исходных данных расшифровка не приведена; официальную расшифровку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РЗА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Релейная защита и автоматика.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ДЗЛ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Дифференциальная защита линий.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ДФЗ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Дифференциально-фазная защита.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DDM/DOM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Контроль и цифровой мониторинг диагностических параметров оптического трансивера;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CDR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Восстановление тактового сигнала;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LOF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Потеря кадра;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LOS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Потеря оптического сигнала;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Режим hitless 1+1 резервирования.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PDV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Вариация задержки пакетов;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PTPv2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Precision Time Protocol версии 2;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QoS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Качество обслуживания;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SoC FPGA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Система на кристалле на базе ПЛИС; официальное расширение обозначения [уточнить].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PRBS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Псевдослучайная двоичная последовательность; официальное расширение обозначения [уточнить].</w:t>
            </w:r>
          </w:p>
        </w:tc>
      </w:tr>
    </w:tbl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НОРМАТИВНЫЕ И СПРАВОЧНЫЕ ДОКУМЕНТЫ</w:t>
      </w:r>
    </w:p>
    <w:p>
      <w:pPr>
        <w:pStyle w:val="Normal"/>
      </w:pPr>
      <w:r>
        <w:rPr>
          <w:sz w:val="22"/>
          <w:szCs w:val="22"/>
        </w:rPr>
        <w:t xml:space="preserve">1. IEEE C37.94-2017; совместимость с IEEE C37.94-2002.</w:t>
      </w:r>
    </w:p>
    <w:p>
      <w:pPr>
        <w:pStyle w:val="Normal"/>
      </w:pPr>
      <w:r>
        <w:rPr>
          <w:sz w:val="22"/>
          <w:szCs w:val="22"/>
        </w:rPr>
        <w:t xml:space="preserve">1. ITU-T G.823.</w:t>
      </w:r>
    </w:p>
    <w:p>
      <w:pPr>
        <w:pStyle w:val="Normal"/>
      </w:pPr>
      <w:r>
        <w:rPr>
          <w:sz w:val="22"/>
          <w:szCs w:val="22"/>
        </w:rPr>
        <w:t xml:space="preserve">1. SFF-8472.</w:t>
      </w:r>
    </w:p>
    <w:p>
      <w:pPr>
        <w:pStyle w:val="Normal"/>
      </w:pPr>
      <w:r>
        <w:rPr>
          <w:sz w:val="22"/>
          <w:szCs w:val="22"/>
        </w:rPr>
        <w:t xml:space="preserve">1. IEEE 802.1p/Q.</w:t>
      </w:r>
    </w:p>
    <w:p>
      <w:pPr>
        <w:pStyle w:val="Normal"/>
      </w:pPr>
      <w:r>
        <w:rPr>
          <w:sz w:val="22"/>
          <w:szCs w:val="22"/>
        </w:rPr>
        <w:t xml:space="preserve">1. PICMG AMC.0 R2.0.</w:t>
      </w:r>
    </w:p>
    <w:p>
      <w:pPr>
        <w:pStyle w:val="Normal"/>
      </w:pPr>
      <w:r>
        <w:rPr>
          <w:sz w:val="22"/>
          <w:szCs w:val="22"/>
        </w:rPr>
        <w:t xml:space="preserve">1. ГОСТ РВ 20.39.304-98.</w:t>
      </w:r>
    </w:p>
    <w:p>
      <w:pPr>
        <w:pStyle w:val="Normal"/>
      </w:pPr>
      <w:r>
        <w:rPr>
          <w:sz w:val="22"/>
          <w:szCs w:val="22"/>
        </w:rPr>
        <w:t xml:space="preserve">1. ГОСТ В 25803-91.</w:t>
      </w:r>
    </w:p>
    <w:p>
      <w:pPr>
        <w:pStyle w:val="Normal"/>
      </w:pPr>
      <w:r>
        <w:rPr>
          <w:sz w:val="22"/>
          <w:szCs w:val="22"/>
        </w:rPr>
        <w:t xml:space="preserve">1. ГОСТ 2.114-2016.</w:t>
      </w:r>
    </w:p>
    <w:p>
      <w:pPr>
        <w:pStyle w:val="Normal"/>
      </w:pPr>
      <w:r>
        <w:rPr>
          <w:sz w:val="22"/>
          <w:szCs w:val="22"/>
        </w:rPr>
        <w:t xml:space="preserve">1. ГОСТ РВ 15.201-2003.</w:t>
      </w:r>
    </w:p>
    <w:p>
      <w:pPr>
        <w:pStyle w:val="Normal"/>
      </w:pPr>
      <w:r>
        <w:rPr>
          <w:sz w:val="22"/>
          <w:szCs w:val="22"/>
        </w:rPr>
        <w:t xml:space="preserve">1. ГОСТ 15150.</w:t>
      </w:r>
    </w:p>
    <w:p>
      <w:pPr>
        <w:pStyle w:val="Normal"/>
      </w:pPr>
      <w:r>
        <w:rPr>
          <w:sz w:val="22"/>
          <w:szCs w:val="22"/>
        </w:rPr>
        <w:t xml:space="preserve">1. ГОСТ 15.016-2016 — в применимой части для ТЗ на составную часть ОКР.</w:t>
      </w:r>
    </w:p>
    <w:p>
      <w:pPr>
        <w:pStyle w:val="Normal"/>
      </w:pPr>
      <w:r>
        <w:rPr>
          <w:sz w:val="22"/>
          <w:szCs w:val="22"/>
        </w:rPr>
        <w:t xml:space="preserve">При разработке, изготовлении и испытаниях применяются указанные документы в части требований, относящихся к изделию. Обозначения и редакции, не заданные исходными данными, не дополняются.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1 Наименование, шифр, основание, исполнители и сроки ОКР</w:t>
      </w:r>
    </w:p>
    <w:p>
      <w:pPr>
        <w:pStyle w:val="Normal"/>
      </w:pPr>
      <w:r>
        <w:rPr>
          <w:sz w:val="22"/>
          <w:szCs w:val="22"/>
        </w:rPr>
        <w:t xml:space="preserve">1.1. Разработать сменную интерфейсную субплату 4×IEEE C37.94 и функциональный модуль релейной защиты для универсального базового модуля AMC семейства ДММП.</w:t>
      </w:r>
    </w:p>
    <w:p>
      <w:pPr>
        <w:pStyle w:val="Normal"/>
      </w:pPr>
      <w:r>
        <w:rPr>
          <w:sz w:val="22"/>
          <w:szCs w:val="22"/>
        </w:rPr>
        <w:t xml:space="preserve">Проверка: Проверить наличие субплаты и функционального модуля в комплекте проектных результатов и соответствие их наименованию.</w:t>
      </w:r>
    </w:p>
    <w:p>
      <w:pPr>
        <w:pStyle w:val="Normal"/>
      </w:pPr>
      <w:r>
        <w:rPr>
          <w:sz w:val="22"/>
          <w:szCs w:val="22"/>
        </w:rPr>
        <w:t xml:space="preserve">1.2. Шифр ОКР — «Развитие-ТСА».</w:t>
      </w:r>
    </w:p>
    <w:p>
      <w:pPr>
        <w:pStyle w:val="Normal"/>
      </w:pPr>
      <w:r>
        <w:rPr>
          <w:sz w:val="22"/>
          <w:szCs w:val="22"/>
        </w:rPr>
        <w:t xml:space="preserve">1.3. Основание выполнения — приказ об открытии инициативной ОКР № [уточнить] от [уточнить].</w:t>
      </w:r>
    </w:p>
    <w:p>
      <w:pPr>
        <w:pStyle w:val="Normal"/>
      </w:pPr>
      <w:r>
        <w:rPr>
          <w:sz w:val="22"/>
          <w:szCs w:val="22"/>
        </w:rPr>
        <w:t xml:space="preserve">1.4. Исполнитель — [организация-исполнитель].</w:t>
      </w:r>
    </w:p>
    <w:p>
      <w:pPr>
        <w:pStyle w:val="Normal"/>
      </w:pPr>
      <w:r>
        <w:rPr>
          <w:sz w:val="22"/>
          <w:szCs w:val="22"/>
        </w:rPr>
        <w:t xml:space="preserve">1.5. Сроки выполнения установить в увязке с утверждённым планом-графиком разработки РКД, программной документации, изготовления образцов и испытаний. Конкретные даты в исходных данных не заданы: [уточнить].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2 Цель выполнения, наименование, назначение и область применения изделия</w:t>
      </w:r>
    </w:p>
    <w:p>
      <w:pPr>
        <w:pStyle w:val="Normal"/>
      </w:pPr>
      <w:r>
        <w:rPr>
          <w:sz w:val="22"/>
          <w:szCs w:val="22"/>
        </w:rPr>
        <w:t xml:space="preserve">2.1. Цель — обеспечить для подстанций ДММП оптические каналы терминалов РЗА/ДЗЛ и ДФЗ, противоаварийной автоматики и регистраторов аварийных событий: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pStyle w:val="Normal"/>
      </w:pPr>
      <w:r>
        <w:rPr>
          <w:sz w:val="22"/>
          <w:szCs w:val="22"/>
        </w:rPr>
        <w:t xml:space="preserve">Проверка: Проверить по результатам испытаний передачу заданных потоков, задержку/асимметрию, работу P2 и безопасное поведение в аварийных режимах.</w:t>
      </w:r>
    </w:p>
    <w:p>
      <w:pPr>
        <w:pStyle w:val="Normal"/>
      </w:pPr>
      <w:r>
        <w:rPr>
          <w:sz w:val="22"/>
          <w:szCs w:val="22"/>
        </w:rPr>
        <w:t xml:space="preserve">2.2. Аппаратная часть изделия включает сменную субплату, четыре оптических интерфейса, защитные цепи, трансиверы и EEPROM Board ID. Логическая часть включает функциональный модуль ПЛИС базовой платы, автоматически активируемый по Board ID.</w:t>
      </w:r>
    </w:p>
    <w:p>
      <w:pPr>
        <w:pStyle w:val="Normal"/>
      </w:pPr>
      <w:r>
        <w:rPr>
          <w:sz w:val="22"/>
          <w:szCs w:val="22"/>
        </w:rPr>
        <w:t xml:space="preserve">2.3. AMC устанавливается на Carrier платформы ДММП.</w:t>
      </w:r>
    </w:p>
    <w:p>
      <w:pPr>
        <w:pStyle w:val="Normal"/>
      </w:pPr>
      <w:r>
        <w:rPr>
          <w:sz w:val="22"/>
          <w:szCs w:val="22"/>
        </w:rPr>
        <w:t xml:space="preserve">2.4. Изделие предназначено для применения в составе универсального базового модуля AMC семейства ДММП для обеспечения указанных оптических каналов подстанций ДММП.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3 Технические требования к изделию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Состав изделия</w:t>
      </w:r>
    </w:p>
    <w:p>
      <w:pPr>
        <w:pStyle w:val="Normal"/>
      </w:pPr>
      <w:r>
        <w:rPr>
          <w:sz w:val="22"/>
          <w:szCs w:val="22"/>
        </w:rPr>
        <w:t xml:space="preserve">3.1.1. В состав изделия входят: сменная субплата 4×IEEE C37.94; четыре независимых оптических порта; функциональный модуль ПЛИС базовой платы; программный bitstream для Flash базовой платы; драйверы Linux; MIB для РМО.</w:t>
      </w:r>
    </w:p>
    <w:p>
      <w:pPr>
        <w:pStyle w:val="Normal"/>
      </w:pPr>
      <w:r>
        <w:rPr>
          <w:sz w:val="22"/>
          <w:szCs w:val="22"/>
        </w:rPr>
        <w:t xml:space="preserve">Проверка: Проверить комплектность РКД и программной документации, а также наличие перечисленных составных частей и файлов.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3.2 Архитектура и оптические интерфейсы</w:t>
      </w:r>
    </w:p>
    <w:p>
      <w:pPr>
        <w:pStyle w:val="Normal"/>
      </w:pPr>
      <w:r>
        <w:rPr>
          <w:sz w:val="22"/>
          <w:szCs w:val="22"/>
        </w:rPr>
        <w:t xml:space="preserve">3.2.1. Субплата должна иметь четыре независимых оптических порта LC/SFP. Трансиверы должны работать на длинах волн 850/1310 нм, иметь CDR, защитные цепи, DDM/DOM и EEPROM Board ID 0x05 с индикацией.</w:t>
      </w:r>
    </w:p>
    <w:p>
      <w:pPr>
        <w:pStyle w:val="Normal"/>
      </w:pPr>
      <w:r>
        <w:rPr>
          <w:sz w:val="22"/>
          <w:szCs w:val="22"/>
        </w:rPr>
        <w:t xml:space="preserve">3.2.2. Связь субплаты с базовой платой должна выполняться по B2B. Базовая плата должна предоставлять +12 В/+3,3 В, MMC, тактирование и автоматически загружать bitstream из Flash по Board ID.</w:t>
      </w:r>
    </w:p>
    <w:p>
      <w:pPr>
        <w:pStyle w:val="Normal"/>
      </w:pPr>
      <w:r>
        <w:rPr>
          <w:sz w:val="22"/>
          <w:szCs w:val="22"/>
        </w:rPr>
        <w:t xml:space="preserve">3.2.3. Должны применяться четыре экранированные корзины SFP / дуплексные LC с отдельными волокнами TX/RX. Для оптики 850 нм должны поддерживаться MM 50/125 или 62,5/125 мкм на расстоянии до 2 км. Для оптики 1310 нм должна поддерживаться SM 9/125 мкм на расстоянии 20–40 км. Альтернативы LC/SFP сохранить; окончательное исполнение [уточнить].</w:t>
      </w:r>
    </w:p>
    <w:p>
      <w:pPr>
        <w:pStyle w:val="Normal"/>
      </w:pPr>
      <w:r>
        <w:rPr>
          <w:sz w:val="22"/>
          <w:szCs w:val="22"/>
        </w:rPr>
        <w:t xml:space="preserve">3.2.4. Для каждого порта предусмотреть линии TX_DISABLE, TX_FAULT и RX_LOS. Опрос DDM/DOM выполнять по I2C согласно SFF-8472; контролировать мощность TX/RX, температуру и ток лазера с передачей телеметрии в РМО.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линий и I2C; измерение/тест чтения DDM/DOM и передача значений в РМО.</w:t>
      </w:r>
    </w:p>
    <w:p>
      <w:pPr>
        <w:pStyle w:val="Normal"/>
      </w:pPr>
      <w:r>
        <w:rPr>
          <w:sz w:val="22"/>
          <w:szCs w:val="22"/>
        </w:rPr>
        <w:t xml:space="preserve">3.2.5. На каждом порту независимо поддерживать N = 1…12 каналов по 64 кбит/с; полезная скорость должна составлять 64–768 кбит/с, кадровый поток — 2048 кбит/с. Реализовать IEEE C37.94-2017 с совместимостью с IEEE C37.94-2002 без изменения или инверсии пользовательских битов.</w:t>
      </w:r>
    </w:p>
    <w:p>
      <w:pPr>
        <w:pStyle w:val="Normal"/>
      </w:pPr>
      <w:r>
        <w:rPr>
          <w:sz w:val="22"/>
          <w:szCs w:val="22"/>
        </w:rPr>
        <w:t xml:space="preserve">Проверка: Измерение потоков для N = 1 и N = 12 и проверка всех заданных скоростей; сравнение переданных и принятых пользовательских битов.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3.3 Пакетная передача, резервирование и безопасные состояния</w:t>
      </w:r>
    </w:p>
    <w:p>
      <w:pPr>
        <w:pStyle w:val="Normal"/>
      </w:pPr>
      <w:r>
        <w:rPr>
          <w:sz w:val="22"/>
          <w:szCs w:val="22"/>
        </w:rPr>
        <w:t xml:space="preserve">3.3.1. Реализовать C37.94-over-Packet по Ethernet L2 с фиксированным периодом пакетизации, Fabric 10GbE и Strict Priority QoS по IEEE 802.1p/Q. L3/UDP/IP применять при необходимости — с процессорным ядром SoC FPGA либо со статической аппаратной подстановкой заголовка.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архитектуры и тест передачи на L2; для варианта L3/UDP/IP — проверка выбранного способа формирования заголовка.</w:t>
      </w:r>
    </w:p>
    <w:p>
      <w:pPr>
        <w:pStyle w:val="Normal"/>
      </w:pPr>
      <w:r>
        <w:rPr>
          <w:sz w:val="22"/>
          <w:szCs w:val="22"/>
        </w:rPr>
        <w:t xml:space="preserve">3.3.2. Задержка передачи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pStyle w:val="Normal"/>
      </w:pPr>
      <w:r>
        <w:rPr>
          <w:sz w:val="22"/>
          <w:szCs w:val="22"/>
        </w:rPr>
        <w:t xml:space="preserve">Проверка: Измерение прямой и обратной задержки и асимметрии во всём заданном диапазоне температур и сетевой нагрузки; проверка отсутствия выпадения кадров при компенсации PDV.</w:t>
      </w:r>
    </w:p>
    <w:p>
      <w:pPr>
        <w:pStyle w:val="Normal"/>
      </w:pPr>
      <w:r>
        <w:rPr>
          <w:sz w:val="22"/>
          <w:szCs w:val="22"/>
        </w:rPr>
        <w:t xml:space="preserve">3.3.3. Ретрансляция потерянных пакетов запрещена.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Число потерь и абсолютная задержка не заданы: [уточнить].</w:t>
      </w:r>
    </w:p>
    <w:p>
      <w:pPr>
        <w:pStyle w:val="Normal"/>
      </w:pPr>
      <w:r>
        <w:rPr>
          <w:sz w:val="22"/>
          <w:szCs w:val="22"/>
        </w:rPr>
        <w:t xml:space="preserve">Проверка: Тест единичного и последовательного пропуска пакетов; проверить фиксацию ошибки, Yellow Alarm / LOF и Laser Off после заданного порога. Порог и абсолютная задержка блокируют завершение количественной проверки до уточнения.</w:t>
      </w:r>
    </w:p>
    <w:p>
      <w:pPr>
        <w:pStyle w:val="Normal"/>
      </w:pPr>
      <w:r>
        <w:rPr>
          <w:sz w:val="22"/>
          <w:szCs w:val="22"/>
        </w:rPr>
        <w:t xml:space="preserve">3.3.4. P2 (Hitless 1+1) должен передавать две идентичные копии по независимым трактам, выполнять поштучную дедупликацию и не допускать потери битов при отказе одного пути. При LOS/LOF либо потере сетевого тракта формировать Yellow Alarm или немедленный Laser Off. Не допускать недостоверные, случайные и повторно воспроизведённые устаревшие данные РЗА. Условия выбора безопасного состояния при сохранении второго пути [уточнить].</w:t>
      </w:r>
    </w:p>
    <w:p>
      <w:pPr>
        <w:pStyle w:val="Normal"/>
      </w:pPr>
      <w:r>
        <w:rPr>
          <w:sz w:val="22"/>
          <w:szCs w:val="22"/>
        </w:rPr>
        <w:t xml:space="preserve">Проверка: Отключение каждого пути поочерёдно; проверка дедупликации, отсутствия потери битов, сигнализации и отсутствия устаревших данных. Выбор безопасного состояния блокирует окончательную проверку до уточнения.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3.4 Тактирование, диагностика и конструкция</w:t>
      </w:r>
    </w:p>
    <w:p>
      <w:pPr>
        <w:pStyle w:val="Normal"/>
      </w:pPr>
      <w:r>
        <w:rPr>
          <w:sz w:val="22"/>
          <w:szCs w:val="22"/>
        </w:rPr>
        <w:t xml:space="preserve">3.4.1. Для каждого порта предусмотреть режимы тактирования: Loop timing от входного сигнала, TCLK 19,44 МГц, PTPv2 и локальный Holdover. Восстановленные 2048 кГц выбранного порта выдавать в RX_CLK. Джиттер/вандер должны соответствовать ITU-T G.823.</w:t>
      </w:r>
    </w:p>
    <w:p>
      <w:pPr>
        <w:pStyle w:val="Normal"/>
      </w:pPr>
      <w:r>
        <w:rPr>
          <w:sz w:val="22"/>
          <w:szCs w:val="22"/>
        </w:rPr>
        <w:t xml:space="preserve">Проверка: Проверка каждого режима тактирования, измерение выхода RX_CLK и измерение джиттера/вандера по ITU-T G.823.</w:t>
      </w:r>
    </w:p>
    <w:p>
      <w:pPr>
        <w:pStyle w:val="Normal"/>
      </w:pPr>
      <w:r>
        <w:rPr>
          <w:sz w:val="22"/>
          <w:szCs w:val="22"/>
        </w:rPr>
        <w:t xml:space="preserve">3.4.2. Контролировать LOS, LOF, Yellow Alarm, битовые ошибки и DDM. На каждом порту предусмотреть Optical Loopback, Payload Loopback и Ethernet Packet Loopback; генератор/анализатор PRBS 2^15−1 и 2^23−1.</w:t>
      </w:r>
    </w:p>
    <w:p>
      <w:pPr>
        <w:pStyle w:val="Normal"/>
      </w:pPr>
      <w:r>
        <w:rPr>
          <w:sz w:val="22"/>
          <w:szCs w:val="22"/>
        </w:rPr>
        <w:t xml:space="preserve">Проверка: Функциональный тест формирования и регистрации каждого состояния/ошибки, каждой петли и обеих последовательностей PRBS.</w:t>
      </w:r>
    </w:p>
    <w:p>
      <w:pPr>
        <w:pStyle w:val="Normal"/>
      </w:pPr>
      <w:r>
        <w:rPr>
          <w:sz w:val="22"/>
          <w:szCs w:val="22"/>
        </w:rPr>
        <w:t xml:space="preserve">3.4.3. Мощность субплаты должна быть не более 12 Вт; мощность сборки с базовой платой — не более 35 Вт.</w:t>
      </w:r>
    </w:p>
    <w:p>
      <w:pPr>
        <w:pStyle w:val="Normal"/>
      </w:pPr>
      <w:r>
        <w:rPr>
          <w:sz w:val="22"/>
          <w:szCs w:val="22"/>
        </w:rPr>
        <w:t xml:space="preserve">Проверка: Измерение потребляемой мощности субплаты и сборки в предусмотренных режимах.</w:t>
      </w:r>
    </w:p>
    <w:p>
      <w:pPr>
        <w:pStyle w:val="Normal"/>
      </w:pPr>
      <w:r>
        <w:rPr>
          <w:sz w:val="22"/>
          <w:szCs w:val="22"/>
        </w:rPr>
        <w:t xml:space="preserve">3.4.4. Конструкция — Single Full-size AMC.0, габаритные размеры 73,5 × 180,6 × 28,95 мм; межплатное крепление — на 4–6 металлических стойках М2,5.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конструкторской документации и измерение габаритов; проверка количества, материала и типоразмера стоек.</w:t>
      </w:r>
    </w:p>
    <w:p>
      <w:pPr>
        <w:pStyle w:val="Normal"/>
      </w:pPr>
      <w:r>
        <w:rPr>
          <w:sz w:val="22"/>
          <w:szCs w:val="22"/>
        </w:rPr>
        <w:t xml:space="preserve">3.4.5. Стойкость должна соответствовать ГОСТ РВ 20.39.304-98, группы 1.1, 1.3, 1.4.1, исполнение «О». Рабочая температура — −10…+50 °C; предельная — −40…+65 °C; синусоидальная вибрация — 5g; удары — 15g. Радиопомехи — группа 1.1.1 ГОСТ В 25803-91.</w:t>
      </w:r>
    </w:p>
    <w:p>
      <w:pPr>
        <w:pStyle w:val="Normal"/>
      </w:pPr>
      <w:r>
        <w:rPr>
          <w:sz w:val="22"/>
          <w:szCs w:val="22"/>
        </w:rPr>
        <w:t xml:space="preserve">Проверка: Испытания/анализ по применимым методикам на заданных воздействиях и проверка групп/исполнения по документации.</w:t>
      </w:r>
    </w:p>
    <w:p>
      <w:pPr>
        <w:pStyle w:val="Normal"/>
      </w:pPr>
      <w:r>
        <w:rPr>
          <w:sz w:val="22"/>
          <w:szCs w:val="22"/>
        </w:rPr>
        <w:t xml:space="preserve">3.4.6. Средняя наработка до отказа (MTBF) — не менее 15 000 ч; назначенный срок службы — не менее 20 лет.</w:t>
      </w:r>
    </w:p>
    <w:p>
      <w:pPr>
        <w:pStyle w:val="Normal"/>
      </w:pPr>
      <w:r>
        <w:rPr>
          <w:sz w:val="22"/>
          <w:szCs w:val="22"/>
        </w:rPr>
        <w:t xml:space="preserve">Проверка: Расчёт/анализ надёжности и проверка заданных показателей по РКД и отчётным материалам.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3.5 Эксплуатация, хранение, обслуживание и ремонт</w:t>
      </w:r>
    </w:p>
    <w:p>
      <w:pPr>
        <w:pStyle w:val="Normal"/>
      </w:pPr>
      <w:r>
        <w:rPr>
          <w:sz w:val="22"/>
          <w:szCs w:val="22"/>
        </w:rPr>
        <w:t xml:space="preserve">3.5.1. Эксплуатацию, хранение, обслуживание и ремонт выполнять с учётом требований разделов 3.4.5, 3.4.6 и 7 настоящего ТЗ. Дополнительные режимы и параметры, не заданные исходными данными, [уточнить].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4 Технико-экономические требования</w:t>
      </w:r>
    </w:p>
    <w:p>
      <w:pPr>
        <w:pStyle w:val="Normal"/>
      </w:pPr>
      <w:r>
        <w:rPr>
          <w:sz w:val="22"/>
          <w:szCs w:val="22"/>
        </w:rPr>
        <w:t xml:space="preserve">4.1. Технико-экономические требования не предъявляются.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5 Требования к видам обеспечения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Требования к нормативно-техническому обеспечению</w:t>
      </w:r>
    </w:p>
    <w:p>
      <w:pPr>
        <w:pStyle w:val="Normal"/>
      </w:pPr>
      <w:r>
        <w:rPr>
          <w:sz w:val="22"/>
          <w:szCs w:val="22"/>
        </w:rPr>
        <w:t xml:space="preserve">5.1.1. Разработку РКД, программной документации, изготовление образцов и испытания выполнять с применением документов, перечисленных в разделе «Нормативные и справочные документы», в части, применимой к изделию. В состав документации включить bitstream функционального модуля, драйверы Linux и MIB для РМО.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состава документации и соответствия ссылок применимым документам.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5.2 Требования к метрологическому обеспечению</w:t>
      </w:r>
    </w:p>
    <w:p>
      <w:pPr>
        <w:pStyle w:val="Normal"/>
      </w:pPr>
      <w:r>
        <w:rPr>
          <w:sz w:val="22"/>
          <w:szCs w:val="22"/>
        </w:rPr>
        <w:t xml:space="preserve">5.2.1. Предусмотреть средства и методики измерения оптической мощности, джиттера по ITU-T G.823, сквозной задержки и асимметрии. Незаданные допуски не дополнять; [уточнить] при разработке методик.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средств и методик; измерения по параметрам, заданным в 3.3.2, 3.4.1 и 3.2.3.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5.3 Требования к диагностическому обеспечению</w:t>
      </w:r>
    </w:p>
    <w:p>
      <w:pPr>
        <w:pStyle w:val="Normal"/>
      </w:pPr>
      <w:r>
        <w:rPr>
          <w:sz w:val="22"/>
          <w:szCs w:val="22"/>
        </w:rPr>
        <w:t xml:space="preserve">5.3.1. Обеспечить регистрацию DDM, LOS/LOF/Yellow Alarm и статистик задержки, формирование сообщений и отчётов для РМО.</w:t>
      </w:r>
    </w:p>
    <w:p>
      <w:pPr>
        <w:pStyle w:val="Normal"/>
      </w:pPr>
      <w:r>
        <w:rPr>
          <w:sz w:val="22"/>
          <w:szCs w:val="22"/>
        </w:rPr>
        <w:t xml:space="preserve">Проверка: Подача диагностических событий и проверка регистрации, сообщений и отчётов в РМО.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5.4 Требования к математическому, программному и информационно-лингвистическому обеспечению</w:t>
      </w:r>
    </w:p>
    <w:p>
      <w:pPr>
        <w:pStyle w:val="Normal"/>
      </w:pPr>
      <w:r>
        <w:rPr>
          <w:sz w:val="22"/>
          <w:szCs w:val="22"/>
        </w:rPr>
        <w:t xml:space="preserve">5.4.1. Разработать bitstream функционального модуля для Flash базовой платы, драйверы Linux и MIB для РМО.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файлов и функциональный тест загрузки bitstream, работы драйверов и обмена по MIB.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6 Требования к сырью, материалам и комплектующим изделиям</w:t>
      </w:r>
    </w:p>
    <w:p>
      <w:pPr>
        <w:pStyle w:val="Normal"/>
      </w:pPr>
      <w:r>
        <w:rPr>
          <w:sz w:val="22"/>
          <w:szCs w:val="22"/>
        </w:rPr>
        <w:t xml:space="preserve">6.1. Предусмотреть приоритет отечественных материалов и комплектующих с приёмкой ОТК.</w:t>
      </w:r>
    </w:p>
    <w:p>
      <w:pPr>
        <w:pStyle w:val="Normal"/>
      </w:pPr>
      <w:r>
        <w:rPr>
          <w:sz w:val="22"/>
          <w:szCs w:val="22"/>
        </w:rPr>
        <w:t xml:space="preserve">6.2. При отсутствии отечественных аналогов разрешить применение импортной ЭКБ промышленного температурного диапазона.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ведомости комплектующих, документов о происхождении/аналогах и приёмке ОТК.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7 Требования к консервации, упаковке и маркировке</w:t>
      </w:r>
    </w:p>
    <w:p>
      <w:pPr>
        <w:pStyle w:val="Normal"/>
      </w:pPr>
      <w:r>
        <w:rPr>
          <w:sz w:val="22"/>
          <w:szCs w:val="22"/>
        </w:rPr>
        <w:t xml:space="preserve">7.1. На изделии предусмотреть децимальный и серийный номера, ревизию и маркировку C37-1…C37-4.</w:t>
      </w:r>
    </w:p>
    <w:p>
      <w:pPr>
        <w:pStyle w:val="Normal"/>
      </w:pPr>
      <w:r>
        <w:rPr>
          <w:sz w:val="22"/>
          <w:szCs w:val="22"/>
        </w:rPr>
        <w:t xml:space="preserve">7.2. Оптические разъёмы защитить колпачками.</w:t>
      </w:r>
    </w:p>
    <w:p>
      <w:pPr>
        <w:pStyle w:val="Normal"/>
      </w:pPr>
      <w:r>
        <w:rPr>
          <w:sz w:val="22"/>
          <w:szCs w:val="22"/>
        </w:rPr>
        <w:t xml:space="preserve">7.3. Хранение в заводской таре обеспечить не менее 1 года по ГОСТ 15150. Незаданные условия консервации не дополнять.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маркировки, защитных колпачков, упаковки и документов на хранение; проверка срока и ссылки на ГОСТ 15150.</w:t>
      </w:r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8 Специальные требования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8.1 Телеметрия РМО</w:t>
      </w:r>
    </w:p>
    <w:p>
      <w:pPr>
        <w:pStyle w:val="Normal"/>
      </w:pPr>
      <w:r>
        <w:rPr>
          <w:sz w:val="22"/>
          <w:szCs w:val="22"/>
        </w:rPr>
        <w:t xml:space="preserve">8.1.1. Телеметрия РМО (C++/Qt) должна включать мнемосхему четырёх портов, N, DDM в дБм, LOS/LOF/Yellow Alarm, задержку, асимметрию и статус P2.</w:t>
      </w:r>
    </w:p>
    <w:p>
      <w:pPr>
        <w:pStyle w:val="Normal"/>
      </w:pPr>
      <w:r>
        <w:rPr>
          <w:sz w:val="22"/>
          <w:szCs w:val="22"/>
        </w:rPr>
        <w:t xml:space="preserve">Проверка: Инспекция интерфейса и функциональный тест отображения всех перечисленных параметров.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8.2 Команды управления</w:t>
      </w:r>
    </w:p>
    <w:p>
      <w:pPr>
        <w:pStyle w:val="Normal"/>
      </w:pPr>
      <w:r>
        <w:rPr>
          <w:sz w:val="22"/>
          <w:szCs w:val="22"/>
        </w:rPr>
        <w:t xml:space="preserve">8.2.1. Реализовать команды настройки N, режима тактирования и P2, управления петлями и запуска PRBS.</w:t>
      </w:r>
    </w:p>
    <w:p>
      <w:pPr>
        <w:pStyle w:val="Normal"/>
      </w:pPr>
      <w:r>
        <w:rPr>
          <w:sz w:val="22"/>
          <w:szCs w:val="22"/>
        </w:rPr>
        <w:t xml:space="preserve">Проверка: Функциональный тест каждой команды с проверкой соответствующего изменения режима/состояния.</w:t>
      </w:r>
    </w:p>
    <w:p>
      <w:run>
        <w:br w:type="page"/>
      </w:run>
    </w:p>
    <w:p>
      <w:pPr>
        <w:pStyle w:val="Heading1"/>
        <w:jc w:val="center"/>
      </w:pPr>
      <w:br w:type="page"/>
      <w:r>
        <w:rPr>
          <w:b/>
          <w:bCs/>
          <w:sz w:val="28"/>
          <w:szCs w:val="28"/>
        </w:rPr>
        <w:t xml:space="preserve">ПОДПИСИ РАЗРАБОТЧИКОВ И СОГЛАСУЮЩИХ ЛИЦ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Роль / организация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Подпись, инициалы, фамилия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Разработчик ТЗ — [уточнить организацию]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Согласовано: головной исполнитель 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Согласовано: заказчик / НИО заказчика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Согласовано: исполнитель СЧ 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Согласовано: другие организации (при необходимости)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____________________________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«___» __________ 20__ г.</w:t>
            </w:r>
          </w:p>
        </w:tc>
      </w:tr>
    </w:tbl>
    <w:p>
      <w:pPr>
        <w:pStyle w:val="Normal"/>
      </w:pPr>
      <w:r>
        <w:rPr>
          <w:sz w:val="22"/>
          <w:szCs w:val="22"/>
        </w:rPr>
        <w:t xml:space="preserve">Статус документа: проект ТЗ на составную часть ОКР. Регистрационный номер, конкретные организации, должности, ФИО, подписи и даты подлежат заполнению после уточнения.</w:t>
      </w:r>
    </w:p>
    <w:sectPr>
      <w:pgSz w:w="11906" w:h="16838"/>
      <w:pgMar w:top="1134" w:right="1020" w:bottom="1020" w:left="141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</w:rPr>
    <w:pPr>
      <w:spacing w:after="100" w:line="276" w:lineRule="auto"/>
    </w:pPr>
  </w:style>
  <w:style w:type="paragraph" w:styleId="Heading1">
    <w:name w:val="heading 1"/>
    <w:basedOn w:val="Normal"/>
    <w:pPr>
      <w:keepNext/>
      <w:spacing w:before="240" w:after="160"/>
    </w:pPr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2"/>
    </w:rPr>
  </w:style>
  <w:style w:type="paragraph" w:styleId="TableText">
    <w:name w:val="Table Text"/>
    <w:basedOn w:val="Normal"/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