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/>
      <w:tr>
        <w:trPr>
          <w:tblHeader/>
        </w:trPr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t xml:space="preserve">СОГЛАСОВАНО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Заказчик (НИО заказчика)</w:t>
            </w:r>
            <w:r>
              <w:br/>
            </w:r>
            <w:r>
              <w:t xml:space="preserve">Должность: [уточнить]</w:t>
            </w:r>
            <w:r>
              <w:br/>
            </w:r>
            <w:r>
              <w:t xml:space="preserve">__________ [ФИО уточнить]</w:t>
            </w:r>
            <w:r>
              <w:br/>
            </w:r>
            <w:r>
              <w:t xml:space="preserve">«___» ________ 20__ г.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t xml:space="preserve">СОГЛАСОВАНО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Исполнитель составной части ОКР</w:t>
            </w:r>
            <w:r>
              <w:br/>
            </w:r>
            <w:r>
              <w:t xml:space="preserve">Должность: [уточнить]</w:t>
            </w:r>
            <w:r>
              <w:br/>
            </w:r>
            <w:r>
              <w:t xml:space="preserve">__________ [ФИО уточнить]</w:t>
            </w:r>
            <w:r>
              <w:br/>
            </w:r>
            <w:r>
              <w:t xml:space="preserve">«___» ________ 20__ г.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t xml:space="preserve">УТВЕРЖДАЮ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Головной исполнитель ОКР</w:t>
            </w:r>
            <w:r>
              <w:br/>
            </w:r>
            <w:r>
              <w:t xml:space="preserve">Должность: [уточнить]</w:t>
            </w:r>
            <w:r>
              <w:br/>
            </w:r>
            <w:r>
              <w:t xml:space="preserve">__________ [ФИО уточнить]</w:t>
            </w:r>
            <w:r>
              <w:br/>
            </w:r>
            <w:r>
              <w:t xml:space="preserve">«___» ________ 20__ г.</w:t>
            </w:r>
          </w:p>
        </w:tc>
      </w:tr>
    </w:tbl>
    <w:p>
      <w:pPr>
        <w:pStyle w:val="Normal"/>
        <w:jc w:val="center"/>
        <w:ind w:firstLine="0"/>
      </w:pPr>
      <w:r>
        <w:rPr>
          <w:b/>
        </w:rPr>
        <w:t xml:space="preserve"/>
      </w:r>
      <w:r>
        <w:br/>
      </w:r>
      <w:r>
        <w:rPr>
          <w:b/>
        </w:rPr>
        <w:t xml:space="preserve"/>
      </w:r>
      <w:r>
        <w:br/>
      </w:r>
      <w:r>
        <w:rPr>
          <w:b/>
        </w:rPr>
        <w:t xml:space="preserve">ТЕХНИЧЕСКОЕ ЗАДАНИЕ</w:t>
      </w:r>
    </w:p>
    <w:p>
      <w:pPr>
        <w:pStyle w:val="Normal"/>
        <w:jc w:val="center"/>
        <w:ind w:firstLine="0"/>
      </w:pPr>
      <w:r>
        <w:rPr>
          <w:b/>
        </w:rPr>
        <w:t xml:space="preserve">НА СОСТАВНУЮ ЧАСТЬ ОПЫТНО-КОНСТРУКТОРСКОЙ РАБОТЫ</w:t>
      </w:r>
    </w:p>
    <w:p>
      <w:pPr>
        <w:pStyle w:val="Normal"/>
        <w:jc w:val="center"/>
        <w:ind w:firstLine="0"/>
      </w:pPr>
      <w:r>
        <w:t xml:space="preserve">«Разработка сменной интерфейсной субплаты 4×IEEE C37.94 и функционального модуля релейной защиты для универсального базового модуля AMC семейства ДММП»</w:t>
      </w:r>
    </w:p>
    <w:p>
      <w:pPr>
        <w:pStyle w:val="Normal"/>
        <w:jc w:val="center"/>
        <w:ind w:firstLine="0"/>
      </w:pPr>
      <w:r>
        <w:rPr>
          <w:b/>
        </w:rPr>
        <w:t xml:space="preserve">Шифр ОКР «Развитие-ТСА»</w:t>
      </w:r>
    </w:p>
    <w:p>
      <w:pPr>
        <w:pStyle w:val="Normal"/>
        <w:jc w:val="center"/>
        <w:ind w:firstLine="0"/>
      </w:pPr>
      <w:r>
        <w:t xml:space="preserve">Обозначение составной части изделия: [уточнить]</w:t>
      </w:r>
    </w:p>
    <w:p>
      <w:pPr>
        <w:pStyle w:val="Normal"/>
        <w:jc w:val="center"/>
        <w:ind w:firstLine="0"/>
      </w:pPr>
      <w:r>
        <w:t xml:space="preserve"/>
      </w:r>
      <w:r>
        <w:br/>
      </w:r>
      <w:r>
        <w:t xml:space="preserve">Проект</w:t>
      </w:r>
    </w:p>
    <w:p>
      <w:pPr>
        <w:pStyle w:val="Normal"/>
        <w:jc w:val="center"/>
        <w:ind w:firstLine="0"/>
      </w:pPr>
      <w:r>
        <w:t xml:space="preserve"/>
      </w:r>
      <w:r>
        <w:br/>
      </w:r>
      <w:r>
        <w:t xml:space="preserve">[место составления уточнить]</w:t>
      </w:r>
      <w:r>
        <w:br/>
      </w:r>
      <w:r>
        <w:t xml:space="preserve">[год уточнить]</w:t>
      </w:r>
    </w:p>
    <w:p>
      <w:r>
        <w:br w:type="page"/>
      </w:r>
    </w:p>
    <w:p>
      <w:pPr>
        <w:pStyle w:val="Heading1"/>
        <w:keepNext/>
      </w:pPr>
      <w:r>
        <w:t xml:space="preserve">Лист согласования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/>
      <w:tr>
        <w:trPr>
          <w:tblHeader/>
        </w:trPr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Организация, должность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Подпись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Инициалы, фамилия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Дата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Заказчик (НИО заказчика): [уточнить]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__________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[уточнить]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[уточнить]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Головной исполнитель ОКР: [уточнить]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__________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[уточнить]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[уточнить]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Исполнитель составной части ОКР: [организация-исполнитель]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__________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[уточнить]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[уточнить]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Другие согласующие организации (по решению заказчика): [уточнить]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__________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[уточнить]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[уточнить]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 xml:space="preserve">Примечание — ФИО, подписи, даты и незаданные реквизиты подлежат уточнению; условные подписи и даты подтверждёнными сведениями не являются.</w:t>
      </w:r>
    </w:p>
    <w:p>
      <w:pPr>
        <w:pStyle w:val="Heading1"/>
        <w:keepNext/>
      </w:pPr>
      <w:r>
        <w:t xml:space="preserve">Перечень обозначений и сокращений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/>
      <w:tr>
        <w:trPr>
          <w:tblHeader/>
        </w:trPr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Обозначение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Значение в настоящем ТЗ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AMC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универсальный базовый модуль семейства ДММП; официальная расшифровка сокращения в исходных данных не приведена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B2B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межплатное соединение субплаты с базовой платой; официальная расшифровка в исходных данных не приведена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Board ID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идентификатор субплаты в EEPROM; для изделия — 0x05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CDR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функция трансивера; официальная расшифровка в исходных данных не приведена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DDM/DOM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цифровой контроль параметров оптического трансивера; официальные расшифровки в исходных данных не приведены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ДЗЛ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вид терминалов релейной защиты; официальная расшифровка в исходных данных не приведена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ДММП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семейство платформ/универсальных базовых модулей; официальная расшифровка в исходных данных не приведена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ДФЗ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вид терминалов релейной защиты; официальная расшифровка в исходных данных не приведена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КИМП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комплектующие изделия межотраслевого применения (обозначение по ГОСТ 15.016—2016)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LC/SFP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альтернативные исполнения оптических портов/трансиверов; окончательное исполнение подлежит уточнению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LOF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аварийный диагностический признак; официальная расшифровка в исходных данных не приведена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LOS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аварийный диагностический признак; официальная расшифровка в исходных данных не приведена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MIB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компонент программного обеспечения для РМО; официальная расшифровка в исходных данных не приведена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MMC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функция, предоставляемая базовой платой; официальная расшифровка в исходных данных не приведена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MTBF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показатель надёжности со значением не менее 15 000 ч; официальная расшифровка в исходных данных не приведена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ОКР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опытно-конструкторская работа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ОНТД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отчётная научно-техническая документация (обозначение по ГОСТ 15.016—2016)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ОТК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приёмка материалов и комплектующих; официальная расшифровка в исходных данных не приведена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P2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резервирование Hitless 1+1 двумя идентичными копиями по независимым трактам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PDV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характеристика, компенсируемая независимым джиттер-буфером; официальная расшифровка в исходных данных не приведена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ПЛИС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программируемая логическая интегральная схема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ПМИ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программа и методика испытаний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PRBS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тестовые последовательности 2^15−1 и 2^23−1; официальная расшифровка в исходных данных не приведена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PTPv2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режим тактирования; официальная расшифровка в исходных данных не приведена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РЗА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релейная защита и автоматика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РКД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рабочая конструкторская документация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РМО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система/рабочее место мониторинга на C++/Qt; официальная расшифровка в исходных данных не приведена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SoC FPGA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платформа процессорного ядра для опционального L3/UDP/IP; официальная расшифровка в исходных данных не приведена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TCLK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источник тактирования 19,44 МГц; официальная расшифровка в исходных данных не приведена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TX/RX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направления передачи/приёма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ЭКБ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электронная компонентная база</w:t>
            </w:r>
          </w:p>
        </w:tc>
      </w:tr>
    </w:tbl>
    <w:p>
      <w:pPr>
        <w:pStyle w:val="Normal"/>
      </w:pPr>
      <w:r>
        <w:t/>
      </w:r>
    </w:p>
    <w:p>
      <w:pPr>
        <w:pStyle w:val="Heading1"/>
        <w:keepNext/>
      </w:pPr>
      <w:r>
        <w:t xml:space="preserve">Перечень применимых нормативных и справочных документов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/>
      <w:tr>
        <w:trPr>
          <w:tblHeader/>
        </w:trPr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№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Обозначение документа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1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IEEE C37.94-2017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2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IEEE C37.94-2002 (в части совместимости)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3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ITU-T G.823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4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SFF-8472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5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IEEE 802.1p/Q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6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PICMG AMC.0 R2.0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7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ГОСТ РВ 20.39.304-98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8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ГОСТ В 25803-91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9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ГОСТ 2.114-2016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10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ГОСТ РВ 15.201-2003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11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ГОСТ 15150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12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ГОСТ 15.016—2016 (построение и оформление настоящего ТЗ в применимой части разделов 6.1, 6.2 и 7.1)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 xml:space="preserve">Примечание — Полные наименования перечисленных документов, кроме приведённого в поставленном файле ГОСТ 15.016—2016, исходными данными не установлены и подлежат уточнению без изменения обозначений.</w:t>
      </w:r>
    </w:p>
    <w:p>
      <w:pPr>
        <w:pStyle w:val="Heading1"/>
        <w:keepNext/>
      </w:pPr>
      <w:r>
        <w:t xml:space="preserve">1 Наименование, шифр, основание, исполнители и сроки ОКР</w:t>
      </w:r>
    </w:p>
    <w:p>
      <w:pPr>
        <w:pStyle w:val="Normal"/>
      </w:pPr>
      <w:r>
        <w:t xml:space="preserve"/>
      </w:r>
      <w:r>
        <w:rPr>
          <w:b/>
        </w:rPr>
        <w:t xml:space="preserve">1.1  </w:t>
      </w:r>
      <w:r>
        <w:t xml:space="preserve">Наименование составной части ОКР: разработка сменной интерфейсной субплаты 4×IEEE C37.94 и функционального модуля релейной защиты для универсального базового модуля AMC семейства ДММП.</w:t>
      </w:r>
    </w:p>
    <w:p>
      <w:pPr>
        <w:pStyle w:val="Normal"/>
      </w:pPr>
      <w:r>
        <w:t xml:space="preserve"/>
      </w:r>
      <w:r>
        <w:rPr>
          <w:b/>
        </w:rPr>
        <w:t xml:space="preserve">1.2  </w:t>
      </w:r>
      <w:r>
        <w:t xml:space="preserve">Шифр ОКР — «Развитие-ТСА».</w:t>
      </w:r>
    </w:p>
    <w:p>
      <w:pPr>
        <w:pStyle w:val="Normal"/>
      </w:pPr>
      <w:r>
        <w:t xml:space="preserve"/>
      </w:r>
      <w:r>
        <w:rPr>
          <w:b/>
        </w:rPr>
        <w:t xml:space="preserve">1.3  </w:t>
      </w:r>
      <w:r>
        <w:t xml:space="preserve">Основание выполнения — приказ об открытии инициативной ОКР № [уточнить] от [уточнить].</w:t>
      </w:r>
    </w:p>
    <w:p>
      <w:pPr>
        <w:pStyle w:val="Normal"/>
      </w:pPr>
      <w:r>
        <w:t xml:space="preserve"/>
      </w:r>
      <w:r>
        <w:rPr>
          <w:b/>
        </w:rPr>
        <w:t xml:space="preserve">1.4  </w:t>
      </w:r>
      <w:r>
        <w:t xml:space="preserve">Исполнитель — [организация-исполнитель]. Головной исполнитель ОКР и заказчик (НИО заказчика) — [уточнить].</w:t>
      </w:r>
    </w:p>
    <w:p>
      <w:pPr>
        <w:pStyle w:val="Normal"/>
      </w:pPr>
      <w:r>
        <w:t xml:space="preserve"/>
      </w:r>
      <w:r>
        <w:rPr>
          <w:b/>
        </w:rPr>
        <w:t xml:space="preserve">1.5  </w:t>
      </w:r>
      <w:r>
        <w:t xml:space="preserve">Сроки выполнения составной части ОКР должны быть связаны с утверждённым планом-графиком разработки РКД и программной документации, изготовления образцов и испытаний. Календарные даты — [уточнить в утверждённом плане-графике].</w:t>
      </w:r>
    </w:p>
    <w:p>
      <w:pPr>
        <w:pStyle w:val="Heading1"/>
        <w:keepNext/>
      </w:pPr>
      <w:r>
        <w:t xml:space="preserve">2 Цель выполнения, наименование, назначение и область применения изделия</w:t>
      </w:r>
    </w:p>
    <w:p>
      <w:pPr>
        <w:pStyle w:val="Normal"/>
      </w:pPr>
      <w:r>
        <w:t xml:space="preserve"/>
      </w:r>
      <w:r>
        <w:rPr>
          <w:b/>
        </w:rPr>
        <w:t xml:space="preserve">2.1  </w:t>
      </w:r>
      <w:r>
        <w:t xml:space="preserve">Цель разработки — обеспечить оптические каналы терминалов РЗА/ДЗЛ и ДФЗ, противоаварийной автоматики и регистраторов аварийных событий подстанций ДММП: прозрачную передачу N×64 кбит/с с фиксированной низкой задержкой, симметрией, резервированием P2 и безопасным аварийным поведением.</w:t>
      </w:r>
    </w:p>
    <w:p>
      <w:pPr>
        <w:pStyle w:val="Normal"/>
      </w:pPr>
      <w:r>
        <w:t xml:space="preserve"/>
      </w:r>
      <w:r>
        <w:rPr>
          <w:b/>
        </w:rPr>
        <w:t xml:space="preserve">2.2  </w:t>
      </w:r>
      <w:r>
        <w:t xml:space="preserve">Изделие должно состоять из аппаратной части — сменной субплаты с оптическими интерфейсами, защитой, трансиверами и EEPROM — и логической части — функционального модуля ПЛИС базовой платы, автоматически активируемого по Board ID.</w:t>
      </w:r>
    </w:p>
    <w:p>
      <w:pPr>
        <w:pStyle w:val="Normal"/>
      </w:pPr>
      <w:r>
        <w:t xml:space="preserve"/>
      </w:r>
      <w:r>
        <w:rPr>
          <w:b/>
        </w:rPr>
        <w:t xml:space="preserve">2.3  </w:t>
      </w:r>
      <w:r>
        <w:t xml:space="preserve">AMC с разработанными составными частями должен устанавливаться на Carrier платформы ДММП.</w:t>
      </w:r>
    </w:p>
    <w:p>
      <w:pPr>
        <w:pStyle w:val="Heading1"/>
        <w:keepNext/>
      </w:pPr>
      <w:r>
        <w:t xml:space="preserve">3 Технические требования к изделию</w:t>
      </w:r>
    </w:p>
    <w:p>
      <w:pPr>
        <w:pStyle w:val="Heading2"/>
        <w:keepNext/>
      </w:pPr>
      <w:r>
        <w:t xml:space="preserve">3.1 Архитектура и оптические интерфейсы</w:t>
      </w:r>
    </w:p>
    <w:p>
      <w:pPr>
        <w:pStyle w:val="Normal"/>
      </w:pPr>
      <w:r>
        <w:t xml:space="preserve"/>
      </w:r>
      <w:r>
        <w:rPr>
          <w:b/>
        </w:rPr>
        <w:t xml:space="preserve">3.1.1  </w:t>
      </w:r>
      <w:r>
        <w:t xml:space="preserve">Субплата должна иметь четыре независимых оптических порта в альтернативном исполнении LC/SFP, трансиверы 850/1310 нм с CDR, защитные цепи, DDM/DOM, EEPROM с Board ID 0x05 и индикацию. Окончательное исполнение LC/SFP — [уточнить].</w:t>
      </w:r>
    </w:p>
    <w:p>
      <w:pPr>
        <w:pStyle w:val="Normal"/>
      </w:pPr>
      <w:r>
        <w:t xml:space="preserve"/>
      </w:r>
      <w:r>
        <w:rPr>
          <w:b/>
        </w:rPr>
        <w:t xml:space="preserve">3.1.2  </w:t>
      </w:r>
      <w:r>
        <w:t xml:space="preserve">Связь субплаты с базовой платой должна выполняться по B2B. Базовая плата должна предоставлять +12 В и +3,3 В, MMC, тактирование и автоматическую загрузку bitstream из Flash по Board ID.</w:t>
      </w:r>
    </w:p>
    <w:p>
      <w:pPr>
        <w:pStyle w:val="Normal"/>
      </w:pPr>
      <w:r>
        <w:t xml:space="preserve"/>
      </w:r>
      <w:r>
        <w:rPr>
          <w:b/>
        </w:rPr>
        <w:t xml:space="preserve">3.1.3  </w:t>
      </w:r>
      <w:r>
        <w:t xml:space="preserve">Должны быть предусмотрены четыре экранированные корзины SFP / дуплексные LC с отдельными волокнами TX и RX.</w:t>
      </w:r>
    </w:p>
    <w:p>
      <w:pPr>
        <w:pStyle w:val="Normal"/>
      </w:pPr>
      <w:r>
        <w:t xml:space="preserve"/>
      </w:r>
      <w:r>
        <w:rPr>
          <w:b/>
        </w:rPr>
        <w:t xml:space="preserve">3.1.4  </w:t>
      </w:r>
      <w:r>
        <w:t xml:space="preserve">Для оптики 850 нм должны применяться многомодовые волокна MM 50/125 или 62,5/125 мкм; дальность — до 2 км.</w:t>
      </w:r>
    </w:p>
    <w:p>
      <w:pPr>
        <w:pStyle w:val="Normal"/>
      </w:pPr>
      <w:r>
        <w:t xml:space="preserve"/>
      </w:r>
      <w:r>
        <w:rPr>
          <w:b/>
        </w:rPr>
        <w:t xml:space="preserve">3.1.5  </w:t>
      </w:r>
      <w:r>
        <w:t xml:space="preserve">Для оптики 1310 нм должны применяться одномодовые волокна SM 9/125 мкм; дальность — 20–40 км.</w:t>
      </w:r>
    </w:p>
    <w:p>
      <w:pPr>
        <w:pStyle w:val="Normal"/>
      </w:pPr>
      <w:r>
        <w:t xml:space="preserve"/>
      </w:r>
      <w:r>
        <w:rPr>
          <w:b/>
        </w:rPr>
        <w:t xml:space="preserve">3.1.6  </w:t>
      </w:r>
      <w:r>
        <w:t xml:space="preserve">На каждом порту должны поддерживаться линии TX_DISABLE, TX_FAULT и RX_LOS.</w:t>
      </w:r>
    </w:p>
    <w:p>
      <w:pPr>
        <w:pStyle w:val="Normal"/>
      </w:pPr>
      <w:r>
        <w:t xml:space="preserve"/>
      </w:r>
      <w:r>
        <w:rPr>
          <w:b/>
        </w:rPr>
        <w:t xml:space="preserve">3.1.7  </w:t>
      </w:r>
      <w:r>
        <w:t xml:space="preserve">Опрос DDM/DOM должен выполняться по I2C согласно SFF-8472. Должны контролироваться мощность TX/RX, температура и ток лазера с передачей телеметрии в РМО.</w:t>
      </w:r>
    </w:p>
    <w:p>
      <w:pPr>
        <w:pStyle w:val="Normal"/>
      </w:pPr>
      <w:r>
        <w:t xml:space="preserve"/>
      </w:r>
      <w:r>
        <w:rPr>
          <w:b/>
        </w:rPr>
        <w:t xml:space="preserve">3.1.8  </w:t>
      </w:r>
      <w:r>
        <w:t xml:space="preserve">Каждый порт независимо должен обеспечивать N = 1…12 каналов по 64 кбит/с, полезную скорость 64–768 кбит/с и кадровый поток 2048 кбит/с.</w:t>
      </w:r>
    </w:p>
    <w:p>
      <w:pPr>
        <w:pStyle w:val="Normal"/>
      </w:pPr>
      <w:r>
        <w:t xml:space="preserve"/>
      </w:r>
      <w:r>
        <w:rPr>
          <w:b/>
        </w:rPr>
        <w:t xml:space="preserve">3.1.9  </w:t>
      </w:r>
      <w:r>
        <w:t xml:space="preserve">Обмен должен соответствовать IEEE C37.94-2017 и обеспечивать совместимость с IEEE C37.94-2002 без изменения или инверсии пользовательских битов.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/>
      <w:tr>
        <w:trPr>
          <w:tblHeader/>
        </w:trPr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Требования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Метод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Условия/воздействие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Наблюдаемый результат и критерий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3.1.1–3.1.9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осмотр, измерение, испытание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поочерёдно для четырёх портов; N = 1…12; выбранное исполнение 850 или 1310 нм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проверить состав, интерфейсы, телеметрию и передачу тестовых данных; наличие заданных элементов и сигналов; 64 кбит/с на канал, 64–768 кбит/с полезной скорости, 2048 кбит/с кадрового потока; пользовательские биты не изменяются и не инвертируются. Полные процедуры и допустимые погрешности измерений — [уточнить в ПМИ]</w:t>
            </w:r>
          </w:p>
        </w:tc>
      </w:tr>
    </w:tbl>
    <w:p>
      <w:pPr>
        <w:pStyle w:val="Normal"/>
      </w:pPr>
      <w:r>
        <w:t/>
      </w:r>
    </w:p>
    <w:p>
      <w:pPr>
        <w:pStyle w:val="Heading2"/>
        <w:keepNext/>
      </w:pPr>
      <w:r>
        <w:t xml:space="preserve">3.2 Пакетная передача, резервирование и безопасные состояния</w:t>
      </w:r>
    </w:p>
    <w:p>
      <w:pPr>
        <w:pStyle w:val="Normal"/>
      </w:pPr>
      <w:r>
        <w:t xml:space="preserve"/>
      </w:r>
      <w:r>
        <w:rPr>
          <w:b/>
        </w:rPr>
        <w:t xml:space="preserve">3.2.1  </w:t>
      </w:r>
      <w:r>
        <w:t xml:space="preserve">C37.94-over-Packet должен обеспечиваться по Ethernet L2 с фиксированным периодом пакетизации, через Fabric 10GbE и с Strict Priority QoS по IEEE 802.1p/Q.</w:t>
      </w:r>
    </w:p>
    <w:p>
      <w:pPr>
        <w:pStyle w:val="Normal"/>
      </w:pPr>
      <w:r>
        <w:t xml:space="preserve"/>
      </w:r>
      <w:r>
        <w:rPr>
          <w:b/>
        </w:rPr>
        <w:t xml:space="preserve">3.2.2  </w:t>
      </w:r>
      <w:r>
        <w:t xml:space="preserve">Поддержка L3/UDP/IP допускается при необходимости с процессорным ядром SoC FPGA либо со статической аппаратной подстановкой заголовка. Решение о необходимости L3/UDP/IP — [уточнить].</w:t>
      </w:r>
    </w:p>
    <w:p>
      <w:pPr>
        <w:pStyle w:val="Normal"/>
      </w:pPr>
      <w:r>
        <w:t xml:space="preserve"/>
      </w:r>
      <w:r>
        <w:rPr>
          <w:b/>
        </w:rPr>
        <w:t xml:space="preserve">3.2.3  </w:t>
      </w:r>
      <w:r>
        <w:t xml:space="preserve">Задержка должна быть фиксированной и детерминированной. Абсолютное значение задержки — [уточнить].</w:t>
      </w:r>
    </w:p>
    <w:p>
      <w:pPr>
        <w:pStyle w:val="Normal"/>
      </w:pPr>
      <w:r>
        <w:t xml:space="preserve"/>
      </w:r>
      <w:r>
        <w:rPr>
          <w:b/>
        </w:rPr>
        <w:t xml:space="preserve">3.2.4  </w:t>
      </w:r>
      <w:r>
        <w:t xml:space="preserve">Асимметрия прямого и обратного направлений должна быть не более ±10 мкс во всём диапазоне рабочих температур и сетевой нагрузки.</w:t>
      </w:r>
    </w:p>
    <w:p>
      <w:pPr>
        <w:pStyle w:val="Normal"/>
      </w:pPr>
      <w:r>
        <w:t xml:space="preserve"/>
      </w:r>
      <w:r>
        <w:rPr>
          <w:b/>
        </w:rPr>
        <w:t xml:space="preserve">3.2.5  </w:t>
      </w:r>
      <w:r>
        <w:t xml:space="preserve">Независимый джиттер-буфер должен компенсировать PDV без выпадения кадров.</w:t>
      </w:r>
    </w:p>
    <w:p>
      <w:pPr>
        <w:pStyle w:val="Normal"/>
      </w:pPr>
      <w:r>
        <w:t xml:space="preserve"/>
      </w:r>
      <w:r>
        <w:rPr>
          <w:b/>
        </w:rPr>
        <w:t xml:space="preserve">3.2.6  </w:t>
      </w:r>
      <w:r>
        <w:t xml:space="preserve">Ретрансляция потерянных пакетов запрещается. Единичный пропуск должен фиксироваться как ошибка и обозначаться Yellow Alarm / LOF.</w:t>
      </w:r>
    </w:p>
    <w:p>
      <w:pPr>
        <w:pStyle w:val="Normal"/>
      </w:pPr>
      <w:r>
        <w:t xml:space="preserve"/>
      </w:r>
      <w:r>
        <w:rPr>
          <w:b/>
        </w:rPr>
        <w:t xml:space="preserve">3.2.7  </w:t>
      </w:r>
      <w:r>
        <w:t xml:space="preserve">Превышение настраиваемого порога последовательных потерь должно вызывать Laser Off. Значение порога — [уточнить].</w:t>
      </w:r>
    </w:p>
    <w:p>
      <w:pPr>
        <w:pStyle w:val="Normal"/>
      </w:pPr>
      <w:r>
        <w:t xml:space="preserve"/>
      </w:r>
      <w:r>
        <w:rPr>
          <w:b/>
        </w:rPr>
        <w:t xml:space="preserve">3.2.8  </w:t>
      </w:r>
      <w:r>
        <w:t xml:space="preserve">Резервирование P2 (Hitless 1+1) должно передавать две идентичные копии по независимым трактам, выполнять поштучную дедупликацию и исключать потерю битов при отказе одного пути.</w:t>
      </w:r>
    </w:p>
    <w:p>
      <w:pPr>
        <w:pStyle w:val="Normal"/>
      </w:pPr>
      <w:r>
        <w:t xml:space="preserve"/>
      </w:r>
      <w:r>
        <w:rPr>
          <w:b/>
        </w:rPr>
        <w:t xml:space="preserve">3.2.9  </w:t>
      </w:r>
      <w:r>
        <w:t xml:space="preserve">При LOS/LOF либо потере сетевого тракта должен формироваться Yellow Alarm или выполняться немедленный Laser Off. Условия выбора реакции, в том числе при сохранении второго пути, — [уточнить].</w:t>
      </w:r>
    </w:p>
    <w:p>
      <w:pPr>
        <w:pStyle w:val="Normal"/>
      </w:pPr>
      <w:r>
        <w:t xml:space="preserve"/>
      </w:r>
      <w:r>
        <w:rPr>
          <w:b/>
        </w:rPr>
        <w:t xml:space="preserve">3.2.10  </w:t>
      </w:r>
      <w:r>
        <w:t xml:space="preserve">Во всех аварийных режимах запрещается выдача недостоверных, случайных и повторно воспроизведённых устаревших данных РЗА.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/>
      <w:tr>
        <w:trPr>
          <w:tblHeader/>
        </w:trPr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Требования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Метод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Условия/воздействие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Наблюдаемый результат и критерий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3.2.1–3.2.10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измерение и испытание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весь диапазон рабочих температур и сетевой нагрузки; нормальная передача, единичная потеря, последовательные потери, отказ одного пути, LOS/LOF и потеря сетевого тракта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измерить задержку и асимметрию; ввести указанные отказы; асимметрия не более ±10 мкс; PDV компенсируется без выпадения кадров; ретрансляции нет; единичный пропуск даёт ошибку Yellow Alarm / LOF; отказ одного пути не приводит к потере битов; недостоверные, случайные и устаревшие данные не выдаются. Проверка абсолютной задержки, порога потерь и однозначной безопасной реакции заблокирована до уточнения 3.2.3, 3.2.7 и 3.2.9</w:t>
            </w:r>
          </w:p>
        </w:tc>
      </w:tr>
    </w:tbl>
    <w:p>
      <w:pPr>
        <w:pStyle w:val="Normal"/>
      </w:pPr>
      <w:r>
        <w:t/>
      </w:r>
    </w:p>
    <w:p>
      <w:pPr>
        <w:pStyle w:val="Heading2"/>
        <w:keepNext/>
      </w:pPr>
      <w:r>
        <w:t xml:space="preserve">3.3 Тактирование, диагностика и конструкция</w:t>
      </w:r>
    </w:p>
    <w:p>
      <w:pPr>
        <w:pStyle w:val="Normal"/>
      </w:pPr>
      <w:r>
        <w:t xml:space="preserve"/>
      </w:r>
      <w:r>
        <w:rPr>
          <w:b/>
        </w:rPr>
        <w:t xml:space="preserve">3.3.1  </w:t>
      </w:r>
      <w:r>
        <w:t xml:space="preserve">Каждый порт должен поддерживать режимы Loop timing от входного сигнала, TCLK 19,44 МГц, PTPv2 и локальный Holdover.</w:t>
      </w:r>
    </w:p>
    <w:p>
      <w:pPr>
        <w:pStyle w:val="Normal"/>
      </w:pPr>
      <w:r>
        <w:t xml:space="preserve"/>
      </w:r>
      <w:r>
        <w:rPr>
          <w:b/>
        </w:rPr>
        <w:t xml:space="preserve">3.3.2  </w:t>
      </w:r>
      <w:r>
        <w:t xml:space="preserve">Восстановленный сигнал 2048 кГц выбранного порта должен выдаваться в RX_CLK. Джиттер и вандер должны соответствовать ITU-T G.823.</w:t>
      </w:r>
    </w:p>
    <w:p>
      <w:pPr>
        <w:pStyle w:val="Normal"/>
      </w:pPr>
      <w:r>
        <w:t xml:space="preserve"/>
      </w:r>
      <w:r>
        <w:rPr>
          <w:b/>
        </w:rPr>
        <w:t xml:space="preserve">3.3.3  </w:t>
      </w:r>
      <w:r>
        <w:t xml:space="preserve">Должны контролироваться LOS, LOF, Yellow Alarm, битовые ошибки и DDM.</w:t>
      </w:r>
    </w:p>
    <w:p>
      <w:pPr>
        <w:pStyle w:val="Normal"/>
      </w:pPr>
      <w:r>
        <w:t xml:space="preserve"/>
      </w:r>
      <w:r>
        <w:rPr>
          <w:b/>
        </w:rPr>
        <w:t xml:space="preserve">3.3.4  </w:t>
      </w:r>
      <w:r>
        <w:t xml:space="preserve">На каждом порту должны быть реализованы Optical Loopback, Payload Loopback и Ethernet Packet Loopback, а также генератор/анализатор PRBS 2^15−1 и 2^23−1.</w:t>
      </w:r>
    </w:p>
    <w:p>
      <w:pPr>
        <w:pStyle w:val="Normal"/>
      </w:pPr>
      <w:r>
        <w:t xml:space="preserve"/>
      </w:r>
      <w:r>
        <w:rPr>
          <w:b/>
        </w:rPr>
        <w:t xml:space="preserve">3.3.5  </w:t>
      </w:r>
      <w:r>
        <w:t xml:space="preserve">Потребляемая мощность субплаты должна быть не более 12 Вт, сборки с базовой платой — не более 35 Вт.</w:t>
      </w:r>
    </w:p>
    <w:p>
      <w:pPr>
        <w:pStyle w:val="Normal"/>
      </w:pPr>
      <w:r>
        <w:t xml:space="preserve"/>
      </w:r>
      <w:r>
        <w:rPr>
          <w:b/>
        </w:rPr>
        <w:t xml:space="preserve">3.3.6  </w:t>
      </w:r>
      <w:r>
        <w:t xml:space="preserve">Конструкция должна соответствовать Single Full-size AMC.0 и иметь габариты 73,5 × 180,6 × 28,95 мм. Межплатное крепление должно выполняться на 4–6 металлических стойках М2,5.</w:t>
      </w:r>
    </w:p>
    <w:p>
      <w:pPr>
        <w:pStyle w:val="Normal"/>
      </w:pPr>
      <w:r>
        <w:t xml:space="preserve"/>
      </w:r>
      <w:r>
        <w:rPr>
          <w:b/>
        </w:rPr>
        <w:t xml:space="preserve">3.3.7  </w:t>
      </w:r>
      <w:r>
        <w:t xml:space="preserve">Изделие должно быть стойким по ГОСТ РВ 20.39.304-98 для групп 1.1, 1.3, 1.4.1, исполнение «О»: рабочая температура −10…+50 °C; предельная температура −40…+65 °C; синусоидальная вибрация 5g; удары 15g.</w:t>
      </w:r>
    </w:p>
    <w:p>
      <w:pPr>
        <w:pStyle w:val="Normal"/>
      </w:pPr>
      <w:r>
        <w:t xml:space="preserve"/>
      </w:r>
      <w:r>
        <w:rPr>
          <w:b/>
        </w:rPr>
        <w:t xml:space="preserve">3.3.8  </w:t>
      </w:r>
      <w:r>
        <w:t xml:space="preserve">Требования по радиопомехам — группа 1.1.1 ГОСТ В 25803-91.</w:t>
      </w:r>
    </w:p>
    <w:p>
      <w:pPr>
        <w:pStyle w:val="Normal"/>
      </w:pPr>
      <w:r>
        <w:t xml:space="preserve"/>
      </w:r>
      <w:r>
        <w:rPr>
          <w:b/>
        </w:rPr>
        <w:t xml:space="preserve">3.3.9  </w:t>
      </w:r>
      <w:r>
        <w:t xml:space="preserve">MTBF должен быть не менее 15 000 ч. Назначенный срок службы должен быть не менее 20 лет.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/>
      <w:tr>
        <w:trPr>
          <w:tblHeader/>
        </w:trPr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Требования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Метод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Условия/воздействие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Наблюдаемый результат и критерий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3.3.1–3.3.9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осмотр, измерение, анализ и испытание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по каждому порту и режиму тактирования; при нормальных и заданных внешних воздействиях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проверить режимы, выход RX_CLK, диагностику, петли, PRBS, мощность, конструкцию, стойкость и показатели надёжности; 19,44 МГц для TCLK; 2048 кГц в RX_CLK; PRBS 2^15−1 и 2^23−1; мощность ≤12 Вт и ≤35 Вт; габариты 73,5 × 180,6 × 28,95 мм; 4–6 стоек М2,5; −10…+50 °C, −40…+65 °C, 5g, 15g; MTBF ≥15 000 ч; срок службы ≥20 лет. Методы подтверждения G.823, стойкости, радиопомех и надёжности — по указанным НД и [уточнить в ПМИ] без введения новых допусков</w:t>
            </w:r>
          </w:p>
        </w:tc>
      </w:tr>
    </w:tbl>
    <w:p>
      <w:pPr>
        <w:pStyle w:val="Normal"/>
      </w:pPr>
      <w:r>
        <w:t/>
      </w:r>
    </w:p>
    <w:p>
      <w:pPr>
        <w:pStyle w:val="Heading1"/>
        <w:keepNext/>
      </w:pPr>
      <w:r>
        <w:t xml:space="preserve">4 Технико-экономические требования</w:t>
      </w:r>
    </w:p>
    <w:p>
      <w:pPr>
        <w:pStyle w:val="Normal"/>
      </w:pPr>
      <w:r>
        <w:t xml:space="preserve"/>
      </w:r>
      <w:r>
        <w:rPr>
          <w:b/>
        </w:rPr>
        <w:t xml:space="preserve">4.1  </w:t>
      </w:r>
      <w:r>
        <w:t xml:space="preserve">Технико-экономические требования к настоящей составной части ОКР не предъявляются.</w:t>
      </w:r>
    </w:p>
    <w:p>
      <w:pPr>
        <w:pStyle w:val="Heading1"/>
        <w:keepNext/>
      </w:pPr>
      <w:r>
        <w:t xml:space="preserve">5 Требования к видам обеспечения</w:t>
      </w:r>
    </w:p>
    <w:p>
      <w:pPr>
        <w:pStyle w:val="Heading2"/>
        <w:keepNext/>
      </w:pPr>
      <w:r>
        <w:t xml:space="preserve">5.1 Требования к нормативно-техническому обеспечению</w:t>
      </w:r>
    </w:p>
    <w:p>
      <w:pPr>
        <w:pStyle w:val="Normal"/>
      </w:pPr>
      <w:r>
        <w:t xml:space="preserve"/>
      </w:r>
      <w:r>
        <w:rPr>
          <w:b/>
        </w:rPr>
        <w:t xml:space="preserve">5.1.1  </w:t>
      </w:r>
      <w:r>
        <w:t xml:space="preserve">При разработке должны применяться документы, перечисленные в перечне применимых нормативных и справочных документов настоящего ТЗ.</w:t>
      </w:r>
    </w:p>
    <w:p>
      <w:pPr>
        <w:pStyle w:val="Heading2"/>
        <w:keepNext/>
      </w:pPr>
      <w:r>
        <w:t xml:space="preserve">5.2 Требования к метрологическому обеспечению</w:t>
      </w:r>
    </w:p>
    <w:p>
      <w:pPr>
        <w:pStyle w:val="Normal"/>
      </w:pPr>
      <w:r>
        <w:t xml:space="preserve"/>
      </w:r>
      <w:r>
        <w:rPr>
          <w:b/>
        </w:rPr>
        <w:t xml:space="preserve">5.2.1  </w:t>
      </w:r>
      <w:r>
        <w:t xml:space="preserve">Должны быть предусмотрены средства и методики измерения оптической мощности, джиттера по ITU-T G.823, сквозной задержки и асимметрии.</w:t>
      </w:r>
    </w:p>
    <w:p>
      <w:pPr>
        <w:pStyle w:val="Normal"/>
      </w:pPr>
      <w:r>
        <w:t xml:space="preserve"/>
      </w:r>
      <w:r>
        <w:rPr>
          <w:b/>
        </w:rPr>
        <w:t xml:space="preserve">5.2.2  </w:t>
      </w:r>
      <w:r>
        <w:t xml:space="preserve">Неустановленные допуски, погрешности средств измерений и подробности методик — [уточнить в ПМИ]; их отсутствие не отменяет критерий асимметрии по 3.2.4 и иные численные критерии настоящего ТЗ.</w:t>
      </w:r>
    </w:p>
    <w:p>
      <w:pPr>
        <w:pStyle w:val="Heading2"/>
        <w:keepNext/>
      </w:pPr>
      <w:r>
        <w:t xml:space="preserve">5.3 Требования к диагностическому обеспечению</w:t>
      </w:r>
    </w:p>
    <w:p>
      <w:pPr>
        <w:pStyle w:val="Normal"/>
      </w:pPr>
      <w:r>
        <w:t xml:space="preserve"/>
      </w:r>
      <w:r>
        <w:rPr>
          <w:b/>
        </w:rPr>
        <w:t xml:space="preserve">5.3.1  </w:t>
      </w:r>
      <w:r>
        <w:t xml:space="preserve">Должны регистрироваться DDM, LOS/LOF/Yellow Alarm и статистика задержки; для РМО должны формироваться сообщения и отчёты.</w:t>
      </w:r>
    </w:p>
    <w:p>
      <w:pPr>
        <w:pStyle w:val="Heading2"/>
        <w:keepNext/>
      </w:pPr>
      <w:r>
        <w:t xml:space="preserve">5.4 Требования к программному обеспечению</w:t>
      </w:r>
    </w:p>
    <w:p>
      <w:pPr>
        <w:pStyle w:val="Normal"/>
      </w:pPr>
      <w:r>
        <w:t xml:space="preserve"/>
      </w:r>
      <w:r>
        <w:rPr>
          <w:b/>
        </w:rPr>
        <w:t xml:space="preserve">5.4.1  </w:t>
      </w:r>
      <w:r>
        <w:t xml:space="preserve">Должны быть разработаны bitstream функционального модуля для Flash базовой платы, драйверы Linux и MIB для РМО.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/>
      <w:tr>
        <w:trPr>
          <w:tblHeader/>
        </w:trPr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Требования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Метод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Условия/воздействие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Наблюдаемый результат и критерий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5.1.1–5.4.1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осмотр и испытание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при наличии разработанных аппаратных и программных средств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проверить комплектность и выполнить измерения/регистрацию; имеются предусмотренные средства и методики; регистрируются DDM, LOS/LOF/Yellow Alarm и статистика задержки; РМО получает сообщения и отчёты; представлены bitstream, драйверы Linux и MIB. Метрологические подробности, отсутствующие в источниках, должны быть уточнены в ПМИ</w:t>
            </w:r>
          </w:p>
        </w:tc>
      </w:tr>
    </w:tbl>
    <w:p>
      <w:pPr>
        <w:pStyle w:val="Normal"/>
      </w:pPr>
      <w:r>
        <w:t/>
      </w:r>
    </w:p>
    <w:p>
      <w:pPr>
        <w:pStyle w:val="Heading1"/>
        <w:keepNext/>
      </w:pPr>
      <w:r>
        <w:t xml:space="preserve">6 Требования к сырью, материалам и комплектующим изделиям</w:t>
      </w:r>
    </w:p>
    <w:p>
      <w:pPr>
        <w:pStyle w:val="Normal"/>
      </w:pPr>
      <w:r>
        <w:t xml:space="preserve"/>
      </w:r>
      <w:r>
        <w:rPr>
          <w:b/>
        </w:rPr>
        <w:t xml:space="preserve">6.1  </w:t>
      </w:r>
      <w:r>
        <w:t xml:space="preserve">При выборе материалов и комплектующих должен отдаваться приоритет отечественным материалам и комплектующим с приёмкой ОТК.</w:t>
      </w:r>
    </w:p>
    <w:p>
      <w:pPr>
        <w:pStyle w:val="Normal"/>
      </w:pPr>
      <w:r>
        <w:t xml:space="preserve"/>
      </w:r>
      <w:r>
        <w:rPr>
          <w:b/>
        </w:rPr>
        <w:t xml:space="preserve">6.2  </w:t>
      </w:r>
      <w:r>
        <w:t xml:space="preserve">При отсутствии отечественных аналогов допускается применять импортную ЭКБ промышленного температурного диапазона.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/>
      <w:tr>
        <w:trPr>
          <w:tblHeader/>
        </w:trPr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Требования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Метод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Условия/воздействие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Наблюдаемый результат и критерий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6.1–6.2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анализ документации и осмотр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для спецификаций и поступивших материалов/комплектующих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проверить происхождение и документы приёмки; подтверждён приоритет отечественных позиций и приёмка ОТК; импортная ЭКБ применена только при отсутствии аналогов и относится к промышленному температурному диапазону</w:t>
            </w:r>
          </w:p>
        </w:tc>
      </w:tr>
    </w:tbl>
    <w:p>
      <w:pPr>
        <w:pStyle w:val="Normal"/>
      </w:pPr>
      <w:r>
        <w:t/>
      </w:r>
    </w:p>
    <w:p>
      <w:pPr>
        <w:pStyle w:val="Heading1"/>
        <w:keepNext/>
      </w:pPr>
      <w:r>
        <w:t xml:space="preserve">7 Требования к консервации, упаковке и маркировке</w:t>
      </w:r>
    </w:p>
    <w:p>
      <w:pPr>
        <w:pStyle w:val="Normal"/>
      </w:pPr>
      <w:r>
        <w:t xml:space="preserve"/>
      </w:r>
      <w:r>
        <w:rPr>
          <w:b/>
        </w:rPr>
        <w:t xml:space="preserve">7.1  </w:t>
      </w:r>
      <w:r>
        <w:t xml:space="preserve">На изделие должны наноситься децимальный номер, серийный номер, ревизия и маркировка портов C37-1…C37-4.</w:t>
      </w:r>
    </w:p>
    <w:p>
      <w:pPr>
        <w:pStyle w:val="Normal"/>
      </w:pPr>
      <w:r>
        <w:t xml:space="preserve"/>
      </w:r>
      <w:r>
        <w:rPr>
          <w:b/>
        </w:rPr>
        <w:t xml:space="preserve">7.2  </w:t>
      </w:r>
      <w:r>
        <w:t xml:space="preserve">Оптические разъёмы должны защищаться колпачками.</w:t>
      </w:r>
    </w:p>
    <w:p>
      <w:pPr>
        <w:pStyle w:val="Normal"/>
      </w:pPr>
      <w:r>
        <w:t xml:space="preserve"/>
      </w:r>
      <w:r>
        <w:rPr>
          <w:b/>
        </w:rPr>
        <w:t xml:space="preserve">7.3  </w:t>
      </w:r>
      <w:r>
        <w:t xml:space="preserve">Срок хранения в заводской таре должен быть не менее 1 года по ГОСТ 15150.</w:t>
      </w:r>
    </w:p>
    <w:p>
      <w:pPr>
        <w:pStyle w:val="Normal"/>
      </w:pPr>
      <w:r>
        <w:t xml:space="preserve"/>
      </w:r>
      <w:r>
        <w:rPr>
          <w:b/>
        </w:rPr>
        <w:t xml:space="preserve">7.4  </w:t>
      </w:r>
      <w:r>
        <w:t xml:space="preserve">Условия и способы консервации, не установленные исходными данными, — [уточнить]; иные требования к консервации настоящим ТЗ не вводятся.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/>
      <w:tr>
        <w:trPr>
          <w:tblHeader/>
        </w:trPr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Требования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Метод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Условия/воздействие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Наблюдаемый результат и критерий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7.1–7.4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осмотр и испытание хранения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упакованное изделие в заводской таре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проверить маркировку и защиту разъёмов; подтвердить хранение; наличие децимального и серийного номеров, ревизии, C37-1…C37-4 и колпачков; хранение не менее 1 года по ГОСТ 15150. Полная проверка консервации заблокирована до уточнения 7.4</w:t>
            </w:r>
          </w:p>
        </w:tc>
      </w:tr>
    </w:tbl>
    <w:p>
      <w:pPr>
        <w:pStyle w:val="Normal"/>
      </w:pPr>
      <w:r>
        <w:t/>
      </w:r>
    </w:p>
    <w:p>
      <w:pPr>
        <w:pStyle w:val="Heading1"/>
        <w:keepNext/>
      </w:pPr>
      <w:r>
        <w:t xml:space="preserve">8 Специальные требования</w:t>
      </w:r>
    </w:p>
    <w:p>
      <w:pPr>
        <w:pStyle w:val="Normal"/>
      </w:pPr>
      <w:r>
        <w:t xml:space="preserve"/>
      </w:r>
      <w:r>
        <w:rPr>
          <w:b/>
        </w:rPr>
        <w:t xml:space="preserve">8.1  </w:t>
      </w:r>
      <w:r>
        <w:t xml:space="preserve">РМО на C++/Qt должно отображать мнемосхему четырёх портов, N, DDM в дБм, LOS/LOF/Yellow Alarm, задержку, асимметрию и статус P2.</w:t>
      </w:r>
    </w:p>
    <w:p>
      <w:pPr>
        <w:pStyle w:val="Normal"/>
      </w:pPr>
      <w:r>
        <w:t xml:space="preserve"/>
      </w:r>
      <w:r>
        <w:rPr>
          <w:b/>
        </w:rPr>
        <w:t xml:space="preserve">8.2  </w:t>
      </w:r>
      <w:r>
        <w:t xml:space="preserve">РМО должно обеспечивать команды настройки N, режима тактирования и P2, управления петлями и запуска PRBS.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/>
      <w:tr>
        <w:trPr>
          <w:tblHeader/>
        </w:trPr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Требования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Метод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Условия/воздействие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Наблюдаемый результат и критерий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8.1–8.2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осмотр и функциональное испытание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четыре порта; поочерёдное изменение N, режимов тактирования и P2; ввод диагностических признаков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проверить отображение и выполнить команды РМО; мнемосхема отображает все перечисленные параметры и состояния; каждая перечисленная команда передаётся и приводит к соответствующей настройке/действию</w:t>
            </w:r>
          </w:p>
        </w:tc>
      </w:tr>
    </w:tbl>
    <w:p>
      <w:pPr>
        <w:pStyle w:val="Normal"/>
      </w:pPr>
      <w:r>
        <w:t/>
      </w:r>
    </w:p>
    <w:p>
      <w:r>
        <w:br w:type="page"/>
      </w:r>
    </w:p>
    <w:p>
      <w:pPr>
        <w:pStyle w:val="Heading1"/>
        <w:keepNext/>
      </w:pPr>
      <w:r>
        <w:t xml:space="preserve">Подписи разработчиков и согласующие подписи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/>
      <w:tr>
        <w:trPr>
          <w:tblHeader/>
        </w:trPr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Роль / организация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Должность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Подпись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Инициалы, фамилия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rPr>
                <w:b/>
              </w:rPr>
              <w:rPr>
                <w:b/>
              </w:rPr>
              <w:t xml:space="preserve">Дата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Разработчик ТЗ: [организация-исполнитель]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[уточнить]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__________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[уточнить]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[уточнить]</w:t>
            </w:r>
          </w:p>
        </w:tc>
      </w:tr>
      <w:tr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Согласующая организация: [уточнить]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[уточнить]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__________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[уточнить]</w:t>
            </w:r>
          </w:p>
        </w:tc>
        <w:tc>
          <w:tcPr>
            <w:tcW w:w="2400" w:type="dxa"/>
            <w:vAlign w:val="center"/>
          </w:tcPr>
          <w:p>
            <w:pPr>
              <w:ind w:firstLine="0"/>
            </w:pPr>
            <w:r>
              <w:t xml:space="preserve">[уточнить]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 xml:space="preserve">Незаполненные реквизиты подлежат уточнению. Подписи и даты в настоящем проекте не проставлены.</w:t>
      </w:r>
    </w:p>
    <w:sectPr>
      <w:headerReference w:type="default" r:id="rId1"/>
      <w:pgSz w:w="11906" w:h="16838"/>
      <w:pgMar w:top="1134" w:right="850" w:bottom="1134" w:left="1417" w:header="400" w:footer="400"/>
    </w:sectPr>
  </w:body>
</w:document>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>PAGE</w:instrText>
    </w:r>
    <w:r>
      <w:fldChar w:fldCharType="end"/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/>
        <w:sz w:val="24"/>
        <w:lang w:val="ru-RU"/>
      </w:rPr>
    </w:rPrDefault>
    <w:pPrDefault>
      <w:pPr>
        <w:spacing w:after="0" w:line="276" w:lineRule="auto"/>
        <w:ind w:firstLine="709"/>
        <w:widowControl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200" w:after="120"/>
      <w:ind w:firstLine="0"/>
      <w:outlineLvl w:val="0"/>
    </w:pPr>
    <w:rPr>
      <w:b/>
      <w:sz w:val="28"/>
    </w:rPr>
  </w:style>
  <w:style w:type="paragraph" w:styleId="Heading2">
    <w:name w:val="heading 2"/>
    <w:basedOn w:val="Normal"/>
    <w:pPr>
      <w:keepNext/>
      <w:spacing w:before="200" w:after="120"/>
      <w:ind w:firstLine="0"/>
      <w:outlineLvl w:val="1"/>
    </w:pPr>
    <w:rPr>
      <w:b/>
      <w:sz w:val="26"/>
    </w:rPr>
  </w:style>
  <w:style w:type="paragraph" w:styleId="Heading3">
    <w:name w:val="heading 3"/>
    <w:basedOn w:val="Normal"/>
    <w:pPr>
      <w:keepNext/>
      <w:ind w:firstLine="0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Техническое задание на составную часть ОКР «Развитие-ТСА»</dc:title>
  <dc:language>ru-RU</dc:language>
  <dcterms:created xsi:type="dcterms:W3CDTF">2026-10-04T14:00:57Z</dcterms:created>
</cp:coreProperties>
</file>