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left"/>
        <w:spacing w:before="0" w:after="0"/>
      </w:pPr>
      <w:r>
        <w:rPr>
          <w:b/>
        </w:rPr>
        <w:t xml:space="preserve">СОГЛАСОВАНО</w:t>
      </w:r>
    </w:p>
    <w:p>
      <w:pPr>
        <w:jc w:val="left"/>
        <w:spacing w:before="0" w:after="0"/>
      </w:pPr>
      <w:r>
        <w:rPr/>
        <w:t xml:space="preserve">должность, заказчик (НИО заказчика): [уточнить]</w:t>
      </w:r>
    </w:p>
    <w:p>
      <w:pPr>
        <w:jc w:val="left"/>
        <w:spacing w:before="0" w:after="160"/>
      </w:pPr>
      <w:r>
        <w:rPr/>
        <w:t xml:space="preserve">подпись: —     инициалы, фамилия: [уточнить]     дата: [уточнить]</w:t>
      </w:r>
    </w:p>
    <w:p>
      <w:pPr>
        <w:jc w:val="left"/>
        <w:spacing w:before="0" w:after="0"/>
      </w:pPr>
      <w:r>
        <w:rPr>
          <w:b/>
        </w:rPr>
        <w:t xml:space="preserve">СОГЛАСОВАНО</w:t>
      </w:r>
    </w:p>
    <w:p>
      <w:pPr>
        <w:jc w:val="left"/>
        <w:spacing w:before="0" w:after="0"/>
      </w:pPr>
      <w:r>
        <w:rPr/>
        <w:t xml:space="preserve">должность, исполнитель составной части ОКР: [уточнить]</w:t>
      </w:r>
    </w:p>
    <w:p>
      <w:pPr>
        <w:jc w:val="left"/>
        <w:spacing w:before="0" w:after="160"/>
      </w:pPr>
      <w:r>
        <w:rPr/>
        <w:t xml:space="preserve">подпись: —     инициалы, фамилия: [уточнить]     дата: [уточнить]</w:t>
      </w:r>
    </w:p>
    <w:p>
      <w:pPr>
        <w:jc w:val="right"/>
        <w:spacing w:before="0" w:after="0"/>
      </w:pPr>
      <w:r>
        <w:rPr>
          <w:b/>
        </w:rPr>
        <w:t xml:space="preserve">УТВЕРЖДАЮ</w:t>
      </w:r>
    </w:p>
    <w:p>
      <w:pPr>
        <w:jc w:val="right"/>
        <w:spacing w:before="0" w:after="0"/>
      </w:pPr>
      <w:r>
        <w:rPr/>
        <w:t xml:space="preserve">должность, головной исполнитель ОКР: [уточнить]</w:t>
      </w:r>
    </w:p>
    <w:p>
      <w:pPr>
        <w:jc w:val="right"/>
        <w:spacing w:before="0" w:after="650"/>
      </w:pPr>
      <w:r>
        <w:rPr/>
        <w:t xml:space="preserve">подпись: —     инициалы, фамилия: [уточнить]     дата: [уточнить]</w:t>
      </w:r>
    </w:p>
    <w:p>
      <w:pPr>
        <w:jc w:val="center"/>
        <w:spacing w:before="0" w:after="80"/>
      </w:pPr>
      <w:r>
        <w:rPr>
          <w:b/>
          <w:sz w:val="28"/>
          <w:szCs w:val="28"/>
        </w:rPr>
        <w:t xml:space="preserve">ТЕХНИЧЕСКОЕ ЗАДАНИЕ</w:t>
      </w:r>
    </w:p>
    <w:p>
      <w:pPr>
        <w:jc w:val="center"/>
        <w:spacing w:before="0" w:after="400"/>
      </w:pPr>
      <w:r>
        <w:rPr>
          <w:b/>
          <w:sz w:val="24"/>
          <w:szCs w:val="24"/>
        </w:rPr>
        <w:t xml:space="preserve">НА СОСТАВНУЮ ЧАСТЬ ОПЫТНО-КОНСТРУКТОРСКОЙ РАБОТЫ</w:t>
      </w:r>
    </w:p>
    <w:p>
      <w:pPr>
        <w:jc w:val="center"/>
        <w:spacing w:before="0" w:after="160"/>
      </w:pPr>
      <w:r>
        <w:rPr>
          <w:b/>
        </w:rPr>
        <w:t xml:space="preserve">Разработка сменной интерфейсной субплаты 4×IEEE C37.94 и функционального модуля релейной защиты для универсального базового модуля AMC семейства ДММП</w:t>
      </w:r>
    </w:p>
    <w:p>
      <w:pPr>
        <w:jc w:val="center"/>
        <w:spacing w:before="0" w:after="120"/>
      </w:pPr>
      <w:r>
        <w:rPr/>
        <w:t xml:space="preserve">Шифр ОКР «Развитие-ТСА»</w:t>
      </w:r>
    </w:p>
    <w:p>
      <w:pPr>
        <w:jc w:val="center"/>
        <w:spacing w:before="0" w:after="800"/>
      </w:pPr>
      <w:r>
        <w:rPr/>
        <w:t xml:space="preserve">Обозначение составной части изделия: [уточнить]</w:t>
      </w:r>
    </w:p>
    <w:p>
      <w:pPr>
        <w:jc w:val="center"/>
      </w:pPr>
      <w:r>
        <w:rPr/>
        <w:t xml:space="preserve">Действует с дополнением: —</w:t>
      </w:r>
    </w:p>
    <w:p>
      <w:r>
        <w:br w:type="page"/>
      </w:r>
    </w:p>
    <w:p>
      <w:pPr>
        <w:jc w:val="center"/>
        <w:spacing w:before="0" w:after="220"/>
      </w:pPr>
      <w:r>
        <w:rPr>
          <w:b/>
          <w:sz w:val="24"/>
          <w:szCs w:val="24"/>
        </w:rPr>
        <w:t xml:space="preserve">ЛИСТ СОГЛАСОВАНИЯ</w:t>
      </w:r>
    </w:p>
    <w:p>
      <w:pPr>
        <w:jc w:val="center"/>
        <w:spacing w:before="0" w:after="180"/>
      </w:pPr>
      <w:r>
        <w:rPr/>
        <w:t xml:space="preserve">Техническое задание на составную часть опытно-конструкторской работы «Развитие-ТСА»</w:t>
      </w:r>
    </w:p>
    <w:tbl>
      <w:tblPr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  <w:tblLayout w:type="fixed"/>
      </w:tblPr>
      <w:tblGrid>
        <w:gridCol w:w="2300"/>
        <w:gridCol w:w="1500"/>
        <w:gridCol w:w="2500"/>
        <w:gridCol w:w="1200"/>
      </w:tblGrid>
      <w:tr>
        <w:tc>
          <w:tcPr>
            <w:tcW w:w="2300" w:type="dxa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Организация / роль</w:t>
            </w:r>
          </w:p>
        </w:tc>
        <w:tc>
          <w:tcPr>
            <w:tcW w:w="1500" w:type="dxa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Должность</w:t>
            </w:r>
          </w:p>
        </w:tc>
        <w:tc>
          <w:tcPr>
            <w:tcW w:w="2500" w:type="dxa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Подпись, инициалы, фамилия</w:t>
            </w:r>
          </w:p>
        </w:tc>
        <w:tc>
          <w:tcPr>
            <w:tcW w:w="1200" w:type="dxa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Дата</w:t>
            </w:r>
          </w:p>
        </w:tc>
      </w:tr>
      <w:tr>
        <w:tc>
          <w:tcPr>
            <w:tcW w:w="2300" w:type="dxa"/>
          </w:tcPr>
          <w:p>
            <w:pPr>
              <w:spacing w:before="0" w:after="0"/>
            </w:pPr>
            <w:r>
              <w:rPr/>
              <w:t xml:space="preserve">Заказчик (НИО заказчика): [уточнить]</w:t>
            </w:r>
          </w:p>
        </w:tc>
        <w:tc>
          <w:tcPr>
            <w:tcW w:w="1500" w:type="dxa"/>
          </w:tcPr>
          <w:p>
            <w:pPr>
              <w:spacing w:before="0" w:after="0"/>
            </w:pPr>
            <w:r>
              <w:rPr/>
              <w:t xml:space="preserve">[уточнить]</w:t>
            </w:r>
          </w:p>
        </w:tc>
        <w:tc>
          <w:tcPr>
            <w:tcW w:w="2500" w:type="dxa"/>
          </w:tcPr>
          <w:p>
            <w:pPr>
              <w:spacing w:before="0" w:after="0"/>
            </w:pPr>
            <w:r>
              <w:rPr/>
              <w:t xml:space="preserve">—, [уточнить]</w:t>
            </w:r>
          </w:p>
        </w:tc>
        <w:tc>
          <w:tcPr>
            <w:tcW w:w="1200" w:type="dxa"/>
          </w:tcPr>
          <w:p>
            <w:pPr>
              <w:spacing w:before="0" w:after="0"/>
            </w:pPr>
            <w:r>
              <w:rPr/>
              <w:t xml:space="preserve">[уточнить]</w:t>
            </w:r>
          </w:p>
        </w:tc>
      </w:tr>
      <w:tr>
        <w:tc>
          <w:tcPr>
            <w:tcW w:w="2300" w:type="dxa"/>
          </w:tcPr>
          <w:p>
            <w:pPr>
              <w:spacing w:before="0" w:after="0"/>
            </w:pPr>
            <w:r>
              <w:rPr/>
              <w:t xml:space="preserve">Исполнитель составной части ОКР: [организация-исполнитель]</w:t>
            </w:r>
          </w:p>
        </w:tc>
        <w:tc>
          <w:tcPr>
            <w:tcW w:w="1500" w:type="dxa"/>
          </w:tcPr>
          <w:p>
            <w:pPr>
              <w:spacing w:before="0" w:after="0"/>
            </w:pPr>
            <w:r>
              <w:rPr/>
              <w:t xml:space="preserve">[уточнить]</w:t>
            </w:r>
          </w:p>
        </w:tc>
        <w:tc>
          <w:tcPr>
            <w:tcW w:w="2500" w:type="dxa"/>
          </w:tcPr>
          <w:p>
            <w:pPr>
              <w:spacing w:before="0" w:after="0"/>
            </w:pPr>
            <w:r>
              <w:rPr/>
              <w:t xml:space="preserve">—, [уточнить]</w:t>
            </w:r>
          </w:p>
        </w:tc>
        <w:tc>
          <w:tcPr>
            <w:tcW w:w="1200" w:type="dxa"/>
          </w:tcPr>
          <w:p>
            <w:pPr>
              <w:spacing w:before="0" w:after="0"/>
            </w:pPr>
            <w:r>
              <w:rPr/>
              <w:t xml:space="preserve">[уточнить]</w:t>
            </w:r>
          </w:p>
        </w:tc>
      </w:tr>
      <w:tr>
        <w:tc>
          <w:tcPr>
            <w:tcW w:w="2300" w:type="dxa"/>
          </w:tcPr>
          <w:p>
            <w:pPr>
              <w:spacing w:before="0" w:after="0"/>
            </w:pPr>
            <w:r>
              <w:rPr/>
              <w:t xml:space="preserve">Головной исполнитель ОКР: [уточнить]</w:t>
            </w:r>
          </w:p>
        </w:tc>
        <w:tc>
          <w:tcPr>
            <w:tcW w:w="1500" w:type="dxa"/>
          </w:tcPr>
          <w:p>
            <w:pPr>
              <w:spacing w:before="0" w:after="0"/>
            </w:pPr>
            <w:r>
              <w:rPr/>
              <w:t xml:space="preserve">[уточнить]</w:t>
            </w:r>
          </w:p>
        </w:tc>
        <w:tc>
          <w:tcPr>
            <w:tcW w:w="2500" w:type="dxa"/>
          </w:tcPr>
          <w:p>
            <w:pPr>
              <w:spacing w:before="0" w:after="0"/>
            </w:pPr>
            <w:r>
              <w:rPr/>
              <w:t xml:space="preserve">—, [уточнить]</w:t>
            </w:r>
          </w:p>
        </w:tc>
        <w:tc>
          <w:tcPr>
            <w:tcW w:w="1200" w:type="dxa"/>
          </w:tcPr>
          <w:p>
            <w:pPr>
              <w:spacing w:before="0" w:after="0"/>
            </w:pPr>
            <w:r>
              <w:rPr/>
              <w:t xml:space="preserve">[уточнить]</w:t>
            </w:r>
          </w:p>
        </w:tc>
      </w:tr>
      <w:tr>
        <w:tc>
          <w:tcPr>
            <w:tcW w:w="2300" w:type="dxa"/>
          </w:tcPr>
          <w:p>
            <w:pPr>
              <w:spacing w:before="0" w:after="0"/>
            </w:pPr>
            <w:r>
              <w:rPr/>
              <w:t xml:space="preserve">Другие согласующие организации: [уточнить]</w:t>
            </w:r>
          </w:p>
        </w:tc>
        <w:tc>
          <w:tcPr>
            <w:tcW w:w="1500" w:type="dxa"/>
          </w:tcPr>
          <w:p>
            <w:pPr>
              <w:spacing w:before="0" w:after="0"/>
            </w:pPr>
            <w:r>
              <w:rPr/>
              <w:t xml:space="preserve">[уточнить]</w:t>
            </w:r>
          </w:p>
        </w:tc>
        <w:tc>
          <w:tcPr>
            <w:tcW w:w="2500" w:type="dxa"/>
          </w:tcPr>
          <w:p>
            <w:pPr>
              <w:spacing w:before="0" w:after="0"/>
            </w:pPr>
            <w:r>
              <w:rPr/>
              <w:t xml:space="preserve">—, [уточнить]</w:t>
            </w:r>
          </w:p>
        </w:tc>
        <w:tc>
          <w:tcPr>
            <w:tcW w:w="1200" w:type="dxa"/>
          </w:tcPr>
          <w:p>
            <w:pPr>
              <w:spacing w:before="0" w:after="0"/>
            </w:pPr>
            <w:r>
              <w:rPr/>
              <w:t xml:space="preserve">[уточнить]</w:t>
            </w:r>
          </w:p>
        </w:tc>
      </w:tr>
    </w:tbl>
    <w:p>
      <w:pPr>
        <w:spacing w:before="0" w:after="160"/>
      </w:pPr>
      <w:r>
        <w:rPr>
          <w:i/>
        </w:rPr>
        <w:t xml:space="preserve">Примечание — состав согласующих организаций и должностных лиц подлежит уточнению заказчиком/головным исполнителем ОКР.</w:t>
      </w:r>
    </w:p>
    <w:p>
      <w:r>
        <w:br w:type="page"/>
      </w:r>
    </w:p>
    <w:p>
      <w:pPr>
        <w:pStyle w:val="H1"/>
        <w:jc w:val="center"/>
      </w:pPr>
      <w:r>
        <w:rPr/>
        <w:t xml:space="preserve">ТЕРМИНЫ, ОБОЗНАЧЕНИЯ И СОКРАЩЕНИЯ</w:t>
      </w:r>
    </w:p>
    <w:tbl>
      <w:tblPr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  <w:tblLayout w:type="fixed"/>
      </w:tblPr>
      <w:tblGrid>
        <w:gridCol w:w="2100"/>
        <w:gridCol w:w="5400"/>
      </w:tblGrid>
      <w:tr>
        <w:tc>
          <w:tcPr>
            <w:tcW w:w="2100" w:type="dxa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Термин / сокращение</w:t>
            </w:r>
          </w:p>
        </w:tc>
        <w:tc>
          <w:tcPr>
            <w:tcW w:w="5400" w:type="dxa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Значение в настоящем ТЗ</w:t>
            </w:r>
          </w:p>
        </w:tc>
      </w:tr>
      <w:tr>
        <w:tc>
          <w:tcPr>
            <w:tcW w:w="2100" w:type="dxa"/>
          </w:tcPr>
          <w:p>
            <w:pPr>
              <w:spacing w:before="0" w:after="0"/>
            </w:pPr>
            <w:r>
              <w:rPr/>
              <w:t xml:space="preserve">AMC</w:t>
            </w:r>
          </w:p>
        </w:tc>
        <w:tc>
          <w:tcPr>
            <w:tcW w:w="5400" w:type="dxa"/>
          </w:tcPr>
          <w:p>
            <w:pPr>
              <w:spacing w:before="0" w:after="0"/>
            </w:pPr>
            <w:r>
              <w:rPr/>
              <w:t xml:space="preserve">обозначение универсального базового модуля AMC семейства ДММП; полное раскрытие сокращения в исходных данных не приведено.</w:t>
            </w:r>
          </w:p>
        </w:tc>
      </w:tr>
      <w:tr>
        <w:tc>
          <w:tcPr>
            <w:tcW w:w="2100" w:type="dxa"/>
          </w:tcPr>
          <w:p>
            <w:pPr>
              <w:spacing w:before="0" w:after="0"/>
            </w:pPr>
            <w:r>
              <w:rPr/>
              <w:t xml:space="preserve">ПЛИС</w:t>
            </w:r>
          </w:p>
        </w:tc>
        <w:tc>
          <w:tcPr>
            <w:tcW w:w="5400" w:type="dxa"/>
          </w:tcPr>
          <w:p>
            <w:pPr>
              <w:spacing w:before="0" w:after="0"/>
            </w:pPr>
            <w:r>
              <w:rPr/>
              <w:t xml:space="preserve">программируемая логическая часть базовой платы, для которой разрабатывается функциональный модуль; полное раскрытие сокращения в исходных данных не приведено.</w:t>
            </w:r>
          </w:p>
        </w:tc>
      </w:tr>
      <w:tr>
        <w:tc>
          <w:tcPr>
            <w:tcW w:w="2100" w:type="dxa"/>
          </w:tcPr>
          <w:p>
            <w:pPr>
              <w:spacing w:before="0" w:after="0"/>
            </w:pPr>
            <w:r>
              <w:rPr/>
              <w:t xml:space="preserve">B2B</w:t>
            </w:r>
          </w:p>
        </w:tc>
        <w:tc>
          <w:tcPr>
            <w:tcW w:w="5400" w:type="dxa"/>
          </w:tcPr>
          <w:p>
            <w:pPr>
              <w:spacing w:before="0" w:after="0"/>
            </w:pPr>
            <w:r>
              <w:rPr/>
              <w:t xml:space="preserve">связь субплаты с базовой платой; полное раскрытие сокращения в исходных данных не приведено.</w:t>
            </w:r>
          </w:p>
        </w:tc>
      </w:tr>
      <w:tr>
        <w:tc>
          <w:tcPr>
            <w:tcW w:w="2100" w:type="dxa"/>
          </w:tcPr>
          <w:p>
            <w:pPr>
              <w:spacing w:before="0" w:after="0"/>
            </w:pPr>
            <w:r>
              <w:rPr/>
              <w:t xml:space="preserve">Board ID</w:t>
            </w:r>
          </w:p>
        </w:tc>
        <w:tc>
          <w:tcPr>
            <w:tcW w:w="5400" w:type="dxa"/>
          </w:tcPr>
          <w:p>
            <w:pPr>
              <w:spacing w:before="0" w:after="0"/>
            </w:pPr>
            <w:r>
              <w:rPr/>
              <w:t xml:space="preserve">идентификатор субплаты в EEPROM; установленное значение — 0x05.</w:t>
            </w:r>
          </w:p>
        </w:tc>
      </w:tr>
      <w:tr>
        <w:tc>
          <w:tcPr>
            <w:tcW w:w="2100" w:type="dxa"/>
          </w:tcPr>
          <w:p>
            <w:pPr>
              <w:spacing w:before="0" w:after="0"/>
            </w:pPr>
            <w:r>
              <w:rPr/>
              <w:t xml:space="preserve">MMC</w:t>
            </w:r>
          </w:p>
        </w:tc>
        <w:tc>
          <w:tcPr>
            <w:tcW w:w="5400" w:type="dxa"/>
          </w:tcPr>
          <w:p>
            <w:pPr>
              <w:spacing w:before="0" w:after="0"/>
            </w:pPr>
            <w:r>
              <w:rPr/>
              <w:t xml:space="preserve">сигнал/интерфейс, предоставляемый базовой платой; полное раскрытие в исходных данных не приведено.</w:t>
            </w:r>
          </w:p>
        </w:tc>
      </w:tr>
      <w:tr>
        <w:tc>
          <w:tcPr>
            <w:tcW w:w="2100" w:type="dxa"/>
          </w:tcPr>
          <w:p>
            <w:pPr>
              <w:spacing w:before="0" w:after="0"/>
            </w:pPr>
            <w:r>
              <w:rPr/>
              <w:t xml:space="preserve">РМО</w:t>
            </w:r>
          </w:p>
        </w:tc>
        <w:tc>
          <w:tcPr>
            <w:tcW w:w="5400" w:type="dxa"/>
          </w:tcPr>
          <w:p>
            <w:pPr>
              <w:spacing w:before="0" w:after="0"/>
            </w:pPr>
            <w:r>
              <w:rPr/>
              <w:t xml:space="preserve">система, в которую передают телеметрию и для которой формируют сообщения и отчёты; полное раскрытие сокращения в исходных данных не приведено.</w:t>
            </w:r>
          </w:p>
        </w:tc>
      </w:tr>
      <w:tr>
        <w:tc>
          <w:tcPr>
            <w:tcW w:w="2100" w:type="dxa"/>
          </w:tcPr>
          <w:p>
            <w:pPr>
              <w:spacing w:before="0" w:after="0"/>
            </w:pPr>
            <w:r>
              <w:rPr/>
              <w:t xml:space="preserve">ОКР</w:t>
            </w:r>
          </w:p>
        </w:tc>
        <w:tc>
          <w:tcPr>
            <w:tcW w:w="5400" w:type="dxa"/>
          </w:tcPr>
          <w:p>
            <w:pPr>
              <w:spacing w:before="0" w:after="0"/>
            </w:pPr>
            <w:r>
              <w:rPr/>
              <w:t xml:space="preserve">опытно-конструкторская работа.</w:t>
            </w:r>
          </w:p>
        </w:tc>
      </w:tr>
      <w:tr>
        <w:tc>
          <w:tcPr>
            <w:tcW w:w="2100" w:type="dxa"/>
          </w:tcPr>
          <w:p>
            <w:pPr>
              <w:spacing w:before="0" w:after="0"/>
            </w:pPr>
            <w:r>
              <w:rPr/>
              <w:t xml:space="preserve">РКД</w:t>
            </w:r>
          </w:p>
        </w:tc>
        <w:tc>
          <w:tcPr>
            <w:tcW w:w="5400" w:type="dxa"/>
          </w:tcPr>
          <w:p>
            <w:pPr>
              <w:spacing w:before="0" w:after="0"/>
            </w:pPr>
            <w:r>
              <w:rPr/>
              <w:t xml:space="preserve">рабочая конструкторская документация.</w:t>
            </w:r>
          </w:p>
        </w:tc>
      </w:tr>
      <w:tr>
        <w:tc>
          <w:tcPr>
            <w:tcW w:w="2100" w:type="dxa"/>
          </w:tcPr>
          <w:p>
            <w:pPr>
              <w:spacing w:before="0" w:after="0"/>
            </w:pPr>
            <w:r>
              <w:rPr/>
              <w:t xml:space="preserve">ПМИ</w:t>
            </w:r>
          </w:p>
        </w:tc>
        <w:tc>
          <w:tcPr>
            <w:tcW w:w="5400" w:type="dxa"/>
          </w:tcPr>
          <w:p>
            <w:pPr>
              <w:spacing w:before="0" w:after="0"/>
            </w:pPr>
            <w:r>
              <w:rPr/>
              <w:t xml:space="preserve">программа и методика испытаний.</w:t>
            </w:r>
          </w:p>
        </w:tc>
      </w:tr>
      <w:tr>
        <w:tc>
          <w:tcPr>
            <w:tcW w:w="2100" w:type="dxa"/>
          </w:tcPr>
          <w:p>
            <w:pPr>
              <w:spacing w:before="0" w:after="0"/>
            </w:pPr>
            <w:r>
              <w:rPr/>
              <w:t xml:space="preserve">РЗА/ДЗЛ</w:t>
            </w:r>
          </w:p>
        </w:tc>
        <w:tc>
          <w:tcPr>
            <w:tcW w:w="5400" w:type="dxa"/>
          </w:tcPr>
          <w:p>
            <w:pPr>
              <w:spacing w:before="0" w:after="0"/>
            </w:pPr>
            <w:r>
              <w:rPr/>
              <w:t xml:space="preserve">обозначения терминалов, для которых обеспечиваются оптические каналы; полные раскрытия в исходных данных не приведены.</w:t>
            </w:r>
          </w:p>
        </w:tc>
      </w:tr>
      <w:tr>
        <w:tc>
          <w:tcPr>
            <w:tcW w:w="2100" w:type="dxa"/>
          </w:tcPr>
          <w:p>
            <w:pPr>
              <w:spacing w:before="0" w:after="0"/>
            </w:pPr>
            <w:r>
              <w:rPr/>
              <w:t xml:space="preserve">ДФЗ</w:t>
            </w:r>
          </w:p>
        </w:tc>
        <w:tc>
          <w:tcPr>
            <w:tcW w:w="5400" w:type="dxa"/>
          </w:tcPr>
          <w:p>
            <w:pPr>
              <w:spacing w:before="0" w:after="0"/>
            </w:pPr>
            <w:r>
              <w:rPr/>
              <w:t xml:space="preserve">обозначение терминалов, для которых обеспечиваются оптические каналы; полное раскрытие в исходных данных не приведено.</w:t>
            </w:r>
          </w:p>
        </w:tc>
      </w:tr>
      <w:tr>
        <w:tc>
          <w:tcPr>
            <w:tcW w:w="2100" w:type="dxa"/>
          </w:tcPr>
          <w:p>
            <w:pPr>
              <w:spacing w:before="0" w:after="0"/>
            </w:pPr>
            <w:r>
              <w:rPr/>
              <w:t xml:space="preserve">DDM/DOM</w:t>
            </w:r>
          </w:p>
        </w:tc>
        <w:tc>
          <w:tcPr>
            <w:tcW w:w="5400" w:type="dxa"/>
          </w:tcPr>
          <w:p>
            <w:pPr>
              <w:spacing w:before="0" w:after="0"/>
            </w:pPr>
            <w:r>
              <w:rPr/>
              <w:t xml:space="preserve">диагностика трансивера, включающая контроль мощности TX/RX, температуры и тока лазера.</w:t>
            </w:r>
          </w:p>
        </w:tc>
      </w:tr>
      <w:tr>
        <w:tc>
          <w:tcPr>
            <w:tcW w:w="2100" w:type="dxa"/>
          </w:tcPr>
          <w:p>
            <w:pPr>
              <w:spacing w:before="0" w:after="0"/>
            </w:pPr>
            <w:r>
              <w:rPr/>
              <w:t xml:space="preserve">LOS / LOF</w:t>
            </w:r>
          </w:p>
        </w:tc>
        <w:tc>
          <w:tcPr>
            <w:tcW w:w="5400" w:type="dxa"/>
          </w:tcPr>
          <w:p>
            <w:pPr>
              <w:spacing w:before="0" w:after="0"/>
            </w:pPr>
            <w:r>
              <w:rPr/>
              <w:t xml:space="preserve">состояния, используемые для безопасной реакции: LOS, LOF; полные раскрытия в исходных данных не приведены.</w:t>
            </w:r>
          </w:p>
        </w:tc>
      </w:tr>
      <w:tr>
        <w:tc>
          <w:tcPr>
            <w:tcW w:w="2100" w:type="dxa"/>
          </w:tcPr>
          <w:p>
            <w:pPr>
              <w:spacing w:before="0" w:after="0"/>
            </w:pPr>
            <w:r>
              <w:rPr/>
              <w:t xml:space="preserve">P2 (Hitless 1+1)</w:t>
            </w:r>
          </w:p>
        </w:tc>
        <w:tc>
          <w:tcPr>
            <w:tcW w:w="5400" w:type="dxa"/>
          </w:tcPr>
          <w:p>
            <w:pPr>
              <w:spacing w:before="0" w:after="0"/>
            </w:pPr>
            <w:r>
              <w:rPr/>
              <w:t xml:space="preserve">резервирование с двумя идентичными копиями по независимым трактам и поштучной дедупликацией.</w:t>
            </w:r>
          </w:p>
        </w:tc>
      </w:tr>
      <w:tr>
        <w:tc>
          <w:tcPr>
            <w:tcW w:w="2100" w:type="dxa"/>
          </w:tcPr>
          <w:p>
            <w:pPr>
              <w:spacing w:before="0" w:after="0"/>
            </w:pPr>
            <w:r>
              <w:rPr/>
              <w:t xml:space="preserve">PRBS</w:t>
            </w:r>
          </w:p>
        </w:tc>
        <w:tc>
          <w:tcPr>
            <w:tcW w:w="5400" w:type="dxa"/>
          </w:tcPr>
          <w:p>
            <w:pPr>
              <w:spacing w:before="0" w:after="0"/>
            </w:pPr>
            <w:r>
              <w:rPr/>
              <w:t xml:space="preserve">генератор/анализатор последовательностей 2^15−1 и 2^23−1; полное раскрытие в исходных данных не приведено.</w:t>
            </w:r>
          </w:p>
        </w:tc>
      </w:tr>
      <w:tr>
        <w:tc>
          <w:tcPr>
            <w:tcW w:w="2100" w:type="dxa"/>
          </w:tcPr>
          <w:p>
            <w:pPr>
              <w:spacing w:before="0" w:after="0"/>
            </w:pPr>
            <w:r>
              <w:rPr/>
              <w:t xml:space="preserve">CDR</w:t>
            </w:r>
          </w:p>
        </w:tc>
        <w:tc>
          <w:tcPr>
            <w:tcW w:w="5400" w:type="dxa"/>
          </w:tcPr>
          <w:p>
            <w:pPr>
              <w:spacing w:before="0" w:after="0"/>
            </w:pPr>
            <w:r>
              <w:rPr/>
              <w:t xml:space="preserve">функция трансиверов 850/1310 нм; полное раскрытие сокращения в исходных данных не приведено.</w:t>
            </w:r>
          </w:p>
        </w:tc>
      </w:tr>
      <w:tr>
        <w:tc>
          <w:tcPr>
            <w:tcW w:w="2100" w:type="dxa"/>
          </w:tcPr>
          <w:p>
            <w:pPr>
              <w:spacing w:before="0" w:after="0"/>
            </w:pPr>
            <w:r>
              <w:rPr/>
              <w:t xml:space="preserve">LC/SFP</w:t>
            </w:r>
          </w:p>
        </w:tc>
        <w:tc>
          <w:tcPr>
            <w:tcW w:w="5400" w:type="dxa"/>
          </w:tcPr>
          <w:p>
            <w:pPr>
              <w:spacing w:before="0" w:after="0"/>
            </w:pPr>
            <w:r>
              <w:rPr/>
              <w:t xml:space="preserve">альтернативные исполнения оптических портов; окончательное исполнение требует уточнения.</w:t>
            </w:r>
          </w:p>
        </w:tc>
      </w:tr>
      <w:tr>
        <w:tc>
          <w:tcPr>
            <w:tcW w:w="2100" w:type="dxa"/>
          </w:tcPr>
          <w:p>
            <w:pPr>
              <w:spacing w:before="0" w:after="0"/>
            </w:pPr>
            <w:r>
              <w:rPr/>
              <w:t xml:space="preserve">TX/RX</w:t>
            </w:r>
          </w:p>
        </w:tc>
        <w:tc>
          <w:tcPr>
            <w:tcW w:w="5400" w:type="dxa"/>
          </w:tcPr>
          <w:p>
            <w:pPr>
              <w:spacing w:before="0" w:after="0"/>
            </w:pPr>
            <w:r>
              <w:rPr/>
              <w:t xml:space="preserve">обозначения направлений отдельных волокон и контролируемой мощности; полные раскрытия в исходных данных не приведены.</w:t>
            </w:r>
          </w:p>
        </w:tc>
      </w:tr>
      <w:tr>
        <w:tc>
          <w:tcPr>
            <w:tcW w:w="2100" w:type="dxa"/>
          </w:tcPr>
          <w:p>
            <w:pPr>
              <w:spacing w:before="0" w:after="0"/>
            </w:pPr>
            <w:r>
              <w:rPr/>
              <w:t xml:space="preserve">I2C</w:t>
            </w:r>
          </w:p>
        </w:tc>
        <w:tc>
          <w:tcPr>
            <w:tcW w:w="5400" w:type="dxa"/>
          </w:tcPr>
          <w:p>
            <w:pPr>
              <w:spacing w:before="0" w:after="0"/>
            </w:pPr>
            <w:r>
              <w:rPr/>
              <w:t xml:space="preserve">интерфейс опроса DDM/DOM согласно SFF-8472; полное раскрытие в исходных данных не приведено.</w:t>
            </w:r>
          </w:p>
        </w:tc>
      </w:tr>
      <w:tr>
        <w:tc>
          <w:tcPr>
            <w:tcW w:w="2100" w:type="dxa"/>
          </w:tcPr>
          <w:p>
            <w:pPr>
              <w:spacing w:before="0" w:after="0"/>
            </w:pPr>
            <w:r>
              <w:rPr/>
              <w:t xml:space="preserve">L2; L3/UDP/IP</w:t>
            </w:r>
          </w:p>
        </w:tc>
        <w:tc>
          <w:tcPr>
            <w:tcW w:w="5400" w:type="dxa"/>
          </w:tcPr>
          <w:p>
            <w:pPr>
              <w:spacing w:before="0" w:after="0"/>
            </w:pPr>
            <w:r>
              <w:rPr/>
              <w:t xml:space="preserve">варианты уровня/протоколов пакетной передачи: Ethernet L2; L3/UDP/IP — при необходимости.</w:t>
            </w:r>
          </w:p>
        </w:tc>
      </w:tr>
      <w:tr>
        <w:tc>
          <w:tcPr>
            <w:tcW w:w="2100" w:type="dxa"/>
          </w:tcPr>
          <w:p>
            <w:pPr>
              <w:spacing w:before="0" w:after="0"/>
            </w:pPr>
            <w:r>
              <w:rPr/>
              <w:t xml:space="preserve">QoS</w:t>
            </w:r>
          </w:p>
        </w:tc>
        <w:tc>
          <w:tcPr>
            <w:tcW w:w="5400" w:type="dxa"/>
          </w:tcPr>
          <w:p>
            <w:pPr>
              <w:spacing w:before="0" w:after="0"/>
            </w:pPr>
            <w:r>
              <w:rPr/>
              <w:t xml:space="preserve">Strict Priority QoS по IEEE 802.1p/Q; полное раскрытие в исходных данных не приведено.</w:t>
            </w:r>
          </w:p>
        </w:tc>
      </w:tr>
      <w:tr>
        <w:tc>
          <w:tcPr>
            <w:tcW w:w="2100" w:type="dxa"/>
          </w:tcPr>
          <w:p>
            <w:pPr>
              <w:spacing w:before="0" w:after="0"/>
            </w:pPr>
            <w:r>
              <w:rPr/>
              <w:t xml:space="preserve">SoC FPGA</w:t>
            </w:r>
          </w:p>
        </w:tc>
        <w:tc>
          <w:tcPr>
            <w:tcW w:w="5400" w:type="dxa"/>
          </w:tcPr>
          <w:p>
            <w:pPr>
              <w:spacing w:before="0" w:after="0"/>
            </w:pPr>
            <w:r>
              <w:rPr/>
              <w:t xml:space="preserve">процессорное ядро, допускаемое при необходимости для L3/UDP/IP; полное раскрытие в исходных данных не приведено.</w:t>
            </w:r>
          </w:p>
        </w:tc>
      </w:tr>
      <w:tr>
        <w:tc>
          <w:tcPr>
            <w:tcW w:w="2100" w:type="dxa"/>
          </w:tcPr>
          <w:p>
            <w:pPr>
              <w:spacing w:before="0" w:after="0"/>
            </w:pPr>
            <w:r>
              <w:rPr/>
              <w:t xml:space="preserve">PDV</w:t>
            </w:r>
          </w:p>
        </w:tc>
        <w:tc>
          <w:tcPr>
            <w:tcW w:w="5400" w:type="dxa"/>
          </w:tcPr>
          <w:p>
            <w:pPr>
              <w:spacing w:before="0" w:after="0"/>
            </w:pPr>
            <w:r>
              <w:rPr/>
              <w:t xml:space="preserve">параметр, компенсируемый независимым джиттер-буфером без выпадения кадров; полное раскрытие в исходных данных не приведено.</w:t>
            </w:r>
          </w:p>
        </w:tc>
      </w:tr>
      <w:tr>
        <w:tc>
          <w:tcPr>
            <w:tcW w:w="2100" w:type="dxa"/>
          </w:tcPr>
          <w:p>
            <w:pPr>
              <w:spacing w:before="0" w:after="0"/>
            </w:pPr>
            <w:r>
              <w:rPr/>
              <w:t xml:space="preserve">TCLK; PTPv2; RX_CLK</w:t>
            </w:r>
          </w:p>
        </w:tc>
        <w:tc>
          <w:tcPr>
            <w:tcW w:w="5400" w:type="dxa"/>
          </w:tcPr>
          <w:p>
            <w:pPr>
              <w:spacing w:before="0" w:after="0"/>
            </w:pPr>
            <w:r>
              <w:rPr/>
              <w:t xml:space="preserve">обозначения режимов/сигнала тактирования: TCLK 19,44 МГц, PTPv2, RX_CLK с восстановленными 2048 кГц; полные раскрытия не приведены.</w:t>
            </w:r>
          </w:p>
        </w:tc>
      </w:tr>
      <w:tr>
        <w:tc>
          <w:tcPr>
            <w:tcW w:w="2100" w:type="dxa"/>
          </w:tcPr>
          <w:p>
            <w:pPr>
              <w:spacing w:before="0" w:after="0"/>
            </w:pPr>
            <w:r>
              <w:rPr/>
              <w:t xml:space="preserve">MTBF</w:t>
            </w:r>
          </w:p>
        </w:tc>
        <w:tc>
          <w:tcPr>
            <w:tcW w:w="5400" w:type="dxa"/>
          </w:tcPr>
          <w:p>
            <w:pPr>
              <w:spacing w:before="0" w:after="0"/>
            </w:pPr>
            <w:r>
              <w:rPr/>
              <w:t xml:space="preserve">показатель надёжности: не менее 15 000 ч; полное раскрытие в исходных данных не приведено.</w:t>
            </w:r>
          </w:p>
        </w:tc>
      </w:tr>
      <w:tr>
        <w:tc>
          <w:tcPr>
            <w:tcW w:w="2100" w:type="dxa"/>
          </w:tcPr>
          <w:p>
            <w:pPr>
              <w:spacing w:before="0" w:after="0"/>
            </w:pPr>
            <w:r>
              <w:rPr/>
              <w:t xml:space="preserve">ОТК</w:t>
            </w:r>
          </w:p>
        </w:tc>
        <w:tc>
          <w:tcPr>
            <w:tcW w:w="5400" w:type="dxa"/>
          </w:tcPr>
          <w:p>
            <w:pPr>
              <w:spacing w:before="0" w:after="0"/>
            </w:pPr>
            <w:r>
              <w:rPr/>
              <w:t xml:space="preserve">приёмка, требуемая для отечественных материалов и комплектующих; полное раскрытие сокращения в исходных данных не приведено.</w:t>
            </w:r>
          </w:p>
        </w:tc>
      </w:tr>
      <w:tr>
        <w:tc>
          <w:tcPr>
            <w:tcW w:w="2100" w:type="dxa"/>
          </w:tcPr>
          <w:p>
            <w:pPr>
              <w:spacing w:before="0" w:after="0"/>
            </w:pPr>
            <w:r>
              <w:rPr/>
              <w:t xml:space="preserve">ЭКБ</w:t>
            </w:r>
          </w:p>
        </w:tc>
        <w:tc>
          <w:tcPr>
            <w:tcW w:w="5400" w:type="dxa"/>
          </w:tcPr>
          <w:p>
            <w:pPr>
              <w:spacing w:before="0" w:after="0"/>
            </w:pPr>
            <w:r>
              <w:rPr/>
              <w:t xml:space="preserve">импортная ЭКБ промышленного температурного диапазона допускается при отсутствии аналогов; полное раскрытие не приведено.</w:t>
            </w:r>
          </w:p>
        </w:tc>
      </w:tr>
      <w:tr>
        <w:tc>
          <w:tcPr>
            <w:tcW w:w="2100" w:type="dxa"/>
          </w:tcPr>
          <w:p>
            <w:pPr>
              <w:spacing w:before="0" w:after="0"/>
            </w:pPr>
            <w:r>
              <w:rPr/>
              <w:t xml:space="preserve">MIB</w:t>
            </w:r>
          </w:p>
        </w:tc>
        <w:tc>
          <w:tcPr>
            <w:tcW w:w="5400" w:type="dxa"/>
          </w:tcPr>
          <w:p>
            <w:pPr>
              <w:spacing w:before="0" w:after="0"/>
            </w:pPr>
            <w:r>
              <w:rPr/>
              <w:t xml:space="preserve">элемент программного обеспечения для РМО; полное раскрытие в исходных данных не приведено.</w:t>
            </w:r>
          </w:p>
        </w:tc>
      </w:tr>
      <w:tr>
        <w:tc>
          <w:tcPr>
            <w:tcW w:w="2100" w:type="dxa"/>
          </w:tcPr>
          <w:p>
            <w:pPr>
              <w:spacing w:before="0" w:after="0"/>
            </w:pPr>
            <w:r>
              <w:rPr/>
              <w:t xml:space="preserve">N</w:t>
            </w:r>
          </w:p>
        </w:tc>
        <w:tc>
          <w:tcPr>
            <w:tcW w:w="5400" w:type="dxa"/>
          </w:tcPr>
          <w:p>
            <w:pPr>
              <w:spacing w:before="0" w:after="0"/>
            </w:pPr>
            <w:r>
              <w:rPr/>
              <w:t xml:space="preserve">число каналов по 64 кбит/с на каждом порту независимо: N = 1…12.</w:t>
            </w:r>
          </w:p>
        </w:tc>
      </w:tr>
      <w:tr>
        <w:tc>
          <w:tcPr>
            <w:tcW w:w="2100" w:type="dxa"/>
          </w:tcPr>
          <w:p>
            <w:pPr>
              <w:spacing w:before="0" w:after="0"/>
            </w:pPr>
            <w:r>
              <w:rPr/>
              <w:t xml:space="preserve">MM; SM</w:t>
            </w:r>
          </w:p>
        </w:tc>
        <w:tc>
          <w:tcPr>
            <w:tcW w:w="5400" w:type="dxa"/>
          </w:tcPr>
          <w:p>
            <w:pPr>
              <w:spacing w:before="0" w:after="0"/>
            </w:pPr>
            <w:r>
              <w:rPr/>
              <w:t xml:space="preserve">типы волокна, заданные как MM 50/125 или 62,5/125 мкм и SM 9/125 мкм; полные раскрытия не приведены.</w:t>
            </w:r>
          </w:p>
        </w:tc>
      </w:tr>
      <w:tr>
        <w:tc>
          <w:tcPr>
            <w:tcW w:w="2100" w:type="dxa"/>
          </w:tcPr>
          <w:p>
            <w:pPr>
              <w:spacing w:before="0" w:after="0"/>
            </w:pPr>
            <w:r>
              <w:rPr/>
              <w:t xml:space="preserve">10GbE</w:t>
            </w:r>
          </w:p>
        </w:tc>
        <w:tc>
          <w:tcPr>
            <w:tcW w:w="5400" w:type="dxa"/>
          </w:tcPr>
          <w:p>
            <w:pPr>
              <w:spacing w:before="0" w:after="0"/>
            </w:pPr>
            <w:r>
              <w:rPr/>
              <w:t xml:space="preserve">производительность Fabric: 10GbE; полное раскрытие в исходных данных не приведено.</w:t>
            </w:r>
          </w:p>
        </w:tc>
      </w:tr>
    </w:tbl>
    <w:p>
      <w:pPr/>
      <w:r>
        <w:rPr>
          <w:i/>
        </w:rPr>
        <w:t xml:space="preserve">Примечание — для сокращений, чьё полное раскрытие отсутствует в исходных данных, приведено только установленное источником значение и контекст; их официальные расшифровки требуют уточнения.</w:t>
      </w:r>
    </w:p>
    <w:p>
      <w:pPr>
        <w:pStyle w:val="H1"/>
        <w:jc w:val="center"/>
      </w:pPr>
      <w:r>
        <w:rPr/>
        <w:t xml:space="preserve">ПРИМЕНИМЫЕ НОРМАТИВНЫЕ И СПРАВОЧНЫЕ ДОКУМЕНТЫ</w:t>
      </w:r>
    </w:p>
    <w:p>
      <w:pPr>
        <w:spacing w:before="0" w:after="40"/>
      </w:pPr>
      <w:r>
        <w:rPr/>
        <w:t xml:space="preserve">1. IEEE C37.94-2017; совместимость с IEEE C37.94-2002.</w:t>
      </w:r>
    </w:p>
    <w:p>
      <w:pPr>
        <w:spacing w:before="0" w:after="40"/>
      </w:pPr>
      <w:r>
        <w:rPr/>
        <w:t xml:space="preserve">2. ITU-T G.823.</w:t>
      </w:r>
    </w:p>
    <w:p>
      <w:pPr>
        <w:spacing w:before="0" w:after="40"/>
      </w:pPr>
      <w:r>
        <w:rPr/>
        <w:t xml:space="preserve">3. SFF-8472.</w:t>
      </w:r>
    </w:p>
    <w:p>
      <w:pPr>
        <w:spacing w:before="0" w:after="40"/>
      </w:pPr>
      <w:r>
        <w:rPr/>
        <w:t xml:space="preserve">4. IEEE 802.1p/Q.</w:t>
      </w:r>
    </w:p>
    <w:p>
      <w:pPr>
        <w:spacing w:before="0" w:after="40"/>
      </w:pPr>
      <w:r>
        <w:rPr/>
        <w:t xml:space="preserve">5. PICMG AMC.0 R2.0.</w:t>
      </w:r>
    </w:p>
    <w:p>
      <w:pPr>
        <w:spacing w:before="0" w:after="40"/>
      </w:pPr>
      <w:r>
        <w:rPr/>
        <w:t xml:space="preserve">6. ГОСТ РВ 20.39.304-98.</w:t>
      </w:r>
    </w:p>
    <w:p>
      <w:pPr>
        <w:spacing w:before="0" w:after="40"/>
      </w:pPr>
      <w:r>
        <w:rPr/>
        <w:t xml:space="preserve">7. ГОСТ В 25803-91.</w:t>
      </w:r>
    </w:p>
    <w:p>
      <w:pPr>
        <w:spacing w:before="0" w:after="40"/>
      </w:pPr>
      <w:r>
        <w:rPr/>
        <w:t xml:space="preserve">8. ГОСТ 2.114-2016.</w:t>
      </w:r>
    </w:p>
    <w:p>
      <w:pPr>
        <w:spacing w:before="0" w:after="40"/>
      </w:pPr>
      <w:r>
        <w:rPr/>
        <w:t xml:space="preserve">9. ГОСТ РВ 15.201-2003.</w:t>
      </w:r>
    </w:p>
    <w:p>
      <w:pPr>
        <w:spacing w:before="0" w:after="40"/>
      </w:pPr>
      <w:r>
        <w:rPr/>
        <w:t xml:space="preserve">10. ГОСТ 15150.</w:t>
      </w:r>
    </w:p>
    <w:p>
      <w:pPr>
        <w:spacing w:before="0" w:after="40"/>
      </w:pPr>
      <w:r>
        <w:rPr/>
        <w:t xml:space="preserve">11. ГОСТ 15.016-2016 — в применимой части для ТЗ на составную часть ОКР: разделы 6.1, 6.2 и 7.1.</w:t>
      </w:r>
    </w:p>
    <w:p>
      <w:pPr>
        <w:pStyle w:val="H1"/>
        <w:spacing w:before="0" w:after="100"/>
      </w:pPr>
      <w:r>
        <w:rPr>
          <w:b/>
        </w:rPr>
        <w:t xml:space="preserve">1 Наименование, шифр, основание, исполнители и сроки ОКР</w:t>
      </w:r>
    </w:p>
    <w:p>
      <w:pPr>
        <w:spacing w:after="55"/>
      </w:pPr>
      <w:r>
        <w:rPr>
          <w:b/>
        </w:rPr>
        <w:t xml:space="preserve">1.1 </w:t>
      </w:r>
      <w:r>
        <w:rPr/>
        <w:t xml:space="preserve">Наименование составной части ОКР: разработка сменной интерфейсной субплаты 4×IEEE C37.94 и функционального модуля релейной защиты для универсального базового модуля AMC семейства ДММП.</w:t>
      </w:r>
    </w:p>
    <w:p>
      <w:pPr>
        <w:spacing w:after="55"/>
      </w:pPr>
      <w:r>
        <w:rPr>
          <w:b/>
        </w:rPr>
        <w:t xml:space="preserve">1.2 </w:t>
      </w:r>
      <w:r>
        <w:rPr/>
        <w:t xml:space="preserve">Шифр ОКР — «Развитие-ТСА».</w:t>
      </w:r>
    </w:p>
    <w:p>
      <w:pPr>
        <w:spacing w:after="55"/>
      </w:pPr>
      <w:r>
        <w:rPr>
          <w:b/>
        </w:rPr>
        <w:t xml:space="preserve">1.3 </w:t>
      </w:r>
      <w:r>
        <w:rPr/>
        <w:t xml:space="preserve">Основание выполнения: приказ об открытии инициативной ОКР № [уточнить] от [уточнить].</w:t>
      </w:r>
    </w:p>
    <w:p>
      <w:pPr>
        <w:spacing w:after="55"/>
      </w:pPr>
      <w:r>
        <w:rPr>
          <w:b/>
        </w:rPr>
        <w:t xml:space="preserve">1.4 </w:t>
      </w:r>
      <w:r>
        <w:rPr/>
        <w:t xml:space="preserve">Исполнитель составной части ОКР — [организация-исполнитель]. Головной исполнитель ОКР — [уточнить].</w:t>
      </w:r>
    </w:p>
    <w:p>
      <w:pPr>
        <w:spacing w:after="55"/>
      </w:pPr>
      <w:r>
        <w:rPr>
          <w:b/>
        </w:rPr>
        <w:t xml:space="preserve">1.5 </w:t>
      </w:r>
      <w:r>
        <w:rPr/>
        <w:t xml:space="preserve">Сроки выполнения связать с утверждённым планом-графиком разработки РКД, программной документации, изготовления образцов и испытаний. Даты начала и окончания работ не заданы: [уточнить].</w:t>
      </w:r>
    </w:p>
    <w:p>
      <w:pPr>
        <w:pStyle w:val="H1"/>
        <w:spacing w:before="0" w:after="100"/>
      </w:pPr>
      <w:r>
        <w:rPr>
          <w:b/>
        </w:rPr>
        <w:t xml:space="preserve">2 Цель выполнения, наименование, назначение и область применения изделия</w:t>
      </w:r>
    </w:p>
    <w:p>
      <w:pPr>
        <w:spacing w:after="55"/>
      </w:pPr>
      <w:r>
        <w:rPr>
          <w:b/>
        </w:rPr>
        <w:t xml:space="preserve">2.1 </w:t>
      </w:r>
      <w:r>
        <w:rPr/>
        <w:t xml:space="preserve">Цель — обеспечить для терминалов РЗА/ДЗЛ и ДФЗ, противоаварийной автоматики и регистраторов аварийных событий подстанций ДММП оптические каналы прозрачной передачи N×64 кбит/с с фиксированной низкой задержкой, симметрией, резервированием P2 и безопасным аварийным поведением.</w:t>
      </w:r>
    </w:p>
    <w:p>
      <w:pPr>
        <w:spacing w:after="55"/>
      </w:pPr>
      <w:r>
        <w:rPr>
          <w:b/>
        </w:rPr>
        <w:t xml:space="preserve">2.2 </w:t>
      </w:r>
      <w:r>
        <w:rPr/>
        <w:t xml:space="preserve">Аппаратная часть включает сменную субплату, интерфейсы, защиту, трансиверы и EEPROM. Логическая часть включает функциональный модуль ПЛИС базовой платы, автоматически активируемый по Board ID.</w:t>
      </w:r>
    </w:p>
    <w:p>
      <w:pPr>
        <w:spacing w:after="55"/>
      </w:pPr>
      <w:r>
        <w:rPr>
          <w:b/>
        </w:rPr>
        <w:t xml:space="preserve">2.3 </w:t>
      </w:r>
      <w:r>
        <w:rPr/>
        <w:t xml:space="preserve">Изделие предназначено для установки AMC на Carrier платформы ДММП.</w:t>
      </w:r>
    </w:p>
    <w:p>
      <w:pPr>
        <w:pStyle w:val="H1"/>
        <w:spacing w:before="0" w:after="100"/>
      </w:pPr>
      <w:r>
        <w:rPr>
          <w:b/>
        </w:rPr>
        <w:t xml:space="preserve">3 Технические требования к изделию</w:t>
      </w:r>
    </w:p>
    <w:p>
      <w:pPr>
        <w:pStyle w:val="H2"/>
        <w:spacing w:before="0" w:after="100"/>
      </w:pPr>
      <w:r>
        <w:rPr>
          <w:b/>
        </w:rPr>
        <w:t xml:space="preserve">3.1 Архитектура и оптические интерфейсы</w:t>
      </w:r>
    </w:p>
    <w:p>
      <w:pPr>
        <w:spacing w:after="55"/>
      </w:pPr>
      <w:r>
        <w:rPr>
          <w:b/>
        </w:rPr>
        <w:t xml:space="preserve">3.1.1 </w:t>
      </w:r>
      <w:r>
        <w:rPr/>
        <w:t xml:space="preserve">Субплата должна содержать четыре независимых оптических порта LC/SFP, трансиверы 850/1310 нм с CDR, защитные цепи, DDM/DOM, EEPROM Board ID 0x05 и индикацию.</w:t>
      </w:r>
    </w:p>
    <w:p>
      <w:pPr>
        <w:spacing w:after="55"/>
      </w:pPr>
      <w:r>
        <w:rPr>
          <w:b/>
        </w:rPr>
        <w:t xml:space="preserve">3.1.2 </w:t>
      </w:r>
      <w:r>
        <w:rPr/>
        <w:t xml:space="preserve">Связь субплаты с базовой платой должна выполняться по B2B. Базовая плата должна предоставлять +12 В, +3,3 В, MMC, тактирование и автоматическую загрузку bitstream из Flash по Board ID.</w:t>
      </w:r>
    </w:p>
    <w:p>
      <w:pPr>
        <w:spacing w:after="55"/>
      </w:pPr>
      <w:r>
        <w:rPr>
          <w:b/>
        </w:rPr>
        <w:t xml:space="preserve">3.1.3 </w:t>
      </w:r>
      <w:r>
        <w:rPr/>
        <w:t xml:space="preserve">Должны быть предусмотрены четыре экранированные корзины SFP / дуплексные LC с отдельными волокнами TX/RX. Альтернативы LC/SFP должны быть сохранены; окончательное исполнение — [уточнить].</w:t>
      </w:r>
    </w:p>
    <w:p>
      <w:pPr>
        <w:spacing w:after="55"/>
      </w:pPr>
      <w:r>
        <w:rPr>
          <w:b/>
        </w:rPr>
        <w:t xml:space="preserve">3.1.4 </w:t>
      </w:r>
      <w:r>
        <w:rPr/>
        <w:t xml:space="preserve">Для оптики 850 нм должны поддерживаться MM 50/125 или 62,5/125 мкм на расстояние до 2 км. Для оптики 1310 нм должны поддерживаться SM 9/125 мкм на расстояние 20–40 км.</w:t>
      </w:r>
    </w:p>
    <w:p>
      <w:pPr>
        <w:spacing w:after="55"/>
      </w:pPr>
      <w:r>
        <w:rPr>
          <w:b/>
        </w:rPr>
        <w:t xml:space="preserve">3.1.5 </w:t>
      </w:r>
      <w:r>
        <w:rPr/>
        <w:t xml:space="preserve">Должны быть предусмотрены линии TX_DISABLE, TX_FAULT, RX_LOS; опрос DDM/DOM по I2C согласно SFF-8472; контроль мощности TX/RX, температуры и тока лазера с передачей телеметрии в РМО.</w:t>
      </w:r>
    </w:p>
    <w:p>
      <w:pPr>
        <w:spacing w:after="55"/>
      </w:pPr>
      <w:r>
        <w:rPr>
          <w:b/>
        </w:rPr>
        <w:t xml:space="preserve">3.1.6 </w:t>
      </w:r>
      <w:r>
        <w:rPr/>
        <w:t xml:space="preserve">На каждом порту независимо должно поддерживаться N = 1…12 каналов по 64 кбит/с; полезная скорость — 64–768 кбит/с; кадровый поток — 2048 кбит/с. Передача должна соответствовать IEEE C37.94-2017 с совместимостью IEEE C37.94-2002, без изменения или инверсии пользовательских битов.</w:t>
      </w:r>
    </w:p>
    <w:p>
      <w:pPr>
        <w:spacing w:after="100"/>
      </w:pPr>
      <w:r>
        <w:rPr>
          <w:b/>
          <w:i/>
        </w:rPr>
        <w:t xml:space="preserve">Проверка. </w:t>
      </w:r>
      <w:r>
        <w:rPr>
          <w:i/>
        </w:rPr>
        <w:t xml:space="preserve">Инспекцией и испытанием подтвердить состав четырёх портов, Board ID 0x05, B2B и ресурсы базовой платы; измерением/испытанием — режимы N, скорости, 2048 кбит/с, сохранение пользовательских битов, альтернативы волокна, телеметрию DDM/DOM. Допуски измерений и методика проверки незаданных параметров — [уточнить].</w:t>
      </w:r>
    </w:p>
    <w:p>
      <w:pPr>
        <w:pStyle w:val="H2"/>
        <w:spacing w:before="0" w:after="100"/>
      </w:pPr>
      <w:r>
        <w:rPr>
          <w:b/>
        </w:rPr>
        <w:t xml:space="preserve">3.2 Пакетная передача, резервирование и безопасные состояния</w:t>
      </w:r>
    </w:p>
    <w:p>
      <w:pPr>
        <w:spacing w:after="55"/>
      </w:pPr>
      <w:r>
        <w:rPr>
          <w:b/>
        </w:rPr>
        <w:t xml:space="preserve">3.2.1 </w:t>
      </w:r>
      <w:r>
        <w:rPr/>
        <w:t xml:space="preserve">C37.94-over-Packet должен использовать Ethernet L2, фиксированный период пакетизации, Fabric 10GbE и Strict Priority QoS (IEEE 802.1p/Q). L3/UDP/IP — при необходимости, с процессорным ядром SoC FPGA либо статической аппаратной подстановкой заголовка.</w:t>
      </w:r>
    </w:p>
    <w:p>
      <w:pPr>
        <w:spacing w:after="55"/>
      </w:pPr>
      <w:r>
        <w:rPr>
          <w:b/>
        </w:rPr>
        <w:t xml:space="preserve">3.2.2 </w:t>
      </w:r>
      <w:r>
        <w:rPr/>
        <w:t xml:space="preserve">Задержка должна быть фиксированной и детерминированной. Асимметрия прямого и обратного направлений должна быть не более ±10 мкс во всём диапазоне температур и сетевой нагрузки. Независимый джиттер-буфер должен компенсировать PDV без выпадения кадров.</w:t>
      </w:r>
    </w:p>
    <w:p>
      <w:pPr>
        <w:spacing w:after="55"/>
      </w:pPr>
      <w:r>
        <w:rPr>
          <w:b/>
        </w:rPr>
        <w:t xml:space="preserve">3.2.3 </w:t>
      </w:r>
      <w:r>
        <w:rPr/>
        <w:t xml:space="preserve">Ретрансляция потерянных пакетов запрещена. Единичный пропуск должен фиксироваться как ошибка и обозначаться Yellow Alarm / LOF; превышение настраиваемого порога последовательных потерь должно вызывать Laser Off. Число потерь и абсолютная задержка — [уточнить].</w:t>
      </w:r>
    </w:p>
    <w:p>
      <w:pPr>
        <w:spacing w:after="55"/>
      </w:pPr>
      <w:r>
        <w:rPr>
          <w:b/>
        </w:rPr>
        <w:t xml:space="preserve">3.2.4 </w:t>
      </w:r>
      <w:r>
        <w:rPr/>
        <w:t xml:space="preserve">P2 (Hitless 1+1) должен передавать две идентичные копии по независимым трактам, выполнять поштучную дедупликацию и обеспечивать отсутствие потери битов при отказе одного пути.</w:t>
      </w:r>
    </w:p>
    <w:p>
      <w:pPr>
        <w:spacing w:after="55"/>
      </w:pPr>
      <w:r>
        <w:rPr>
          <w:b/>
        </w:rPr>
        <w:t xml:space="preserve">3.2.5 </w:t>
      </w:r>
      <w:r>
        <w:rPr/>
        <w:t xml:space="preserve">При LOS/LOF либо потере сетевого тракта должно формироваться Yellow Alarm или выполняться немедленный Laser Off. Недостоверные, случайные и повторно воспроизведённые устаревшие данные РЗА запрещены. Условия выбора безопасного состояния при сохранении второго пути — [уточнить].</w:t>
      </w:r>
    </w:p>
    <w:p>
      <w:pPr>
        <w:spacing w:after="100"/>
      </w:pPr>
      <w:r>
        <w:rPr>
          <w:b/>
          <w:i/>
        </w:rPr>
        <w:t xml:space="preserve">Проверка. </w:t>
      </w:r>
      <w:r>
        <w:rPr>
          <w:i/>
        </w:rPr>
        <w:t xml:space="preserve">Испытанием с имитацией единичного и последовательных пропусков, LOS, LOF, потери сетевого тракта и отказа одного пути подтвердить запрет ретрансляции, Yellow Alarm / LOF либо Laser Off, P2-дедупликацию и отсутствие потери битов при отказе одного пути. Измерением во всём диапазоне температур и сетевой нагрузки подтвердить асимметрию не более ±10 мкс. Абсолютная задержка, порог последовательных потерь и выбор безопасного состояния при сохранном втором пути — [уточнить]; эти сведения блокируют полные критерии соответствующих проверок.</w:t>
      </w:r>
    </w:p>
    <w:p>
      <w:pPr>
        <w:pStyle w:val="H2"/>
        <w:spacing w:before="0" w:after="100"/>
      </w:pPr>
      <w:r>
        <w:rPr>
          <w:b/>
        </w:rPr>
        <w:t xml:space="preserve">3.3 Тактирование, диагностика и конструкция</w:t>
      </w:r>
    </w:p>
    <w:p>
      <w:pPr>
        <w:spacing w:after="55"/>
      </w:pPr>
      <w:r>
        <w:rPr>
          <w:b/>
        </w:rPr>
        <w:t xml:space="preserve">3.3.1 </w:t>
      </w:r>
      <w:r>
        <w:rPr/>
        <w:t xml:space="preserve">Для каждого порта должны поддерживаться режимы: Loop timing от входного сигнала, TCLK 19,44 МГц, PTPv2 и локальный Holdover. Восстановленные 2048 кГц выбранного порта должны выдаваться в RX_CLK; джиттер/вандер — по ITU-T G.823.</w:t>
      </w:r>
    </w:p>
    <w:p>
      <w:pPr>
        <w:spacing w:after="55"/>
      </w:pPr>
      <w:r>
        <w:rPr>
          <w:b/>
        </w:rPr>
        <w:t xml:space="preserve">3.3.2 </w:t>
      </w:r>
      <w:r>
        <w:rPr/>
        <w:t xml:space="preserve">Должны контролироваться LOS, LOF, Yellow Alarm, битовые ошибки и DDM. На каждом порту должны быть Optical Loopback, Payload Loopback, Ethernet Packet Loopback, генератор/анализатор PRBS 2^15−1 и 2^23−1.</w:t>
      </w:r>
    </w:p>
    <w:p>
      <w:pPr>
        <w:spacing w:after="55"/>
      </w:pPr>
      <w:r>
        <w:rPr>
          <w:b/>
        </w:rPr>
        <w:t xml:space="preserve">3.3.3 </w:t>
      </w:r>
      <w:r>
        <w:rPr/>
        <w:t xml:space="preserve">Мощность субплаты должна быть не более 12 Вт; мощность сборки с базовой платой — не более 35 Вт.</w:t>
      </w:r>
    </w:p>
    <w:p>
      <w:pPr>
        <w:spacing w:after="55"/>
      </w:pPr>
      <w:r>
        <w:rPr>
          <w:b/>
        </w:rPr>
        <w:t xml:space="preserve">3.3.4 </w:t>
      </w:r>
      <w:r>
        <w:rPr/>
        <w:t xml:space="preserve">Конструкция должна соответствовать Single Full-size AMC.0: 73,5 × 180,6 × 28,95 мм; межплатное крепление — на 4–6 металлических стойках М2,5.</w:t>
      </w:r>
    </w:p>
    <w:p>
      <w:pPr>
        <w:spacing w:after="55"/>
      </w:pPr>
      <w:r>
        <w:rPr>
          <w:b/>
        </w:rPr>
        <w:t xml:space="preserve">3.3.5 </w:t>
      </w:r>
      <w:r>
        <w:rPr/>
        <w:t xml:space="preserve">Стойкость должна соответствовать ГОСТ РВ 20.39.304-98: группы 1.1, 1.3, 1.4.1, исполнение «О»; рабочая температура −10…+50 °C, предельная −40…+65 °C, синусоидальная вибрация 5g, удары 15g. Радиопомехи — группа 1.1.1 ГОСТ В 25803-91.</w:t>
      </w:r>
    </w:p>
    <w:p>
      <w:pPr>
        <w:spacing w:after="55"/>
      </w:pPr>
      <w:r>
        <w:rPr>
          <w:b/>
        </w:rPr>
        <w:t xml:space="preserve">3.3.6 </w:t>
      </w:r>
      <w:r>
        <w:rPr/>
        <w:t xml:space="preserve">Средняя наработка на отказ (MTBF) — не менее 15 000 ч; назначенный срок службы — не менее 20 лет.</w:t>
      </w:r>
    </w:p>
    <w:p>
      <w:pPr>
        <w:spacing w:after="100"/>
      </w:pPr>
      <w:r>
        <w:rPr>
          <w:b/>
          <w:i/>
        </w:rPr>
        <w:t xml:space="preserve">Проверка. </w:t>
      </w:r>
      <w:r>
        <w:rPr>
          <w:i/>
        </w:rPr>
        <w:t xml:space="preserve">Измерением и испытанием подтвердить режимы тактирования, 2048 кГц в RX_CLK, джиттер/вандер по ITU-T G.823, диагностику, петли и PRBS; измерением — ограничения мощности; инспекцией — габариты и 4–6 стоек М2,5; испытанием — заданные воздействия и радиопомехи. Метод оценки MTBF и срок службы в исходных данных не определён: [уточнить].</w:t>
      </w:r>
    </w:p>
    <w:p>
      <w:pPr>
        <w:pStyle w:val="H1"/>
        <w:spacing w:before="0" w:after="100"/>
      </w:pPr>
      <w:r>
        <w:rPr>
          <w:b/>
        </w:rPr>
        <w:t xml:space="preserve">4 Технико-экономические требования</w:t>
      </w:r>
    </w:p>
    <w:p>
      <w:pPr>
        <w:spacing w:after="55"/>
      </w:pPr>
      <w:r>
        <w:rPr>
          <w:b/>
        </w:rPr>
        <w:t xml:space="preserve">4.1 </w:t>
      </w:r>
      <w:r>
        <w:rPr/>
        <w:t xml:space="preserve">Технико-экономические требования не предъявляются.</w:t>
      </w:r>
    </w:p>
    <w:p>
      <w:pPr>
        <w:pStyle w:val="H1"/>
        <w:spacing w:before="0" w:after="100"/>
      </w:pPr>
      <w:r>
        <w:rPr>
          <w:b/>
        </w:rPr>
        <w:t xml:space="preserve">5 Требования к видам обеспечения</w:t>
      </w:r>
    </w:p>
    <w:p>
      <w:pPr>
        <w:spacing w:after="55"/>
      </w:pPr>
      <w:r>
        <w:rPr>
          <w:b/>
        </w:rPr>
        <w:t xml:space="preserve">5.1 </w:t>
      </w:r>
      <w:r>
        <w:rPr/>
        <w:t xml:space="preserve">Нормативно-техническое обеспечение должно учитывать перечень применимых нормативных и справочных документов, приведённый в настоящем ТЗ.</w:t>
      </w:r>
    </w:p>
    <w:p>
      <w:pPr>
        <w:spacing w:after="55"/>
      </w:pPr>
      <w:r>
        <w:rPr>
          <w:b/>
        </w:rPr>
        <w:t xml:space="preserve">5.2 </w:t>
      </w:r>
      <w:r>
        <w:rPr/>
        <w:t xml:space="preserve">Метрологическое обеспечение должно предусматривать средства и методики измерения оптической мощности, джиттера по ITU-T G.823, сквозной задержки и асимметрии. Незаданные допуски не устанавливаются.</w:t>
      </w:r>
    </w:p>
    <w:p>
      <w:pPr>
        <w:spacing w:after="55"/>
      </w:pPr>
      <w:r>
        <w:rPr>
          <w:b/>
        </w:rPr>
        <w:t xml:space="preserve">5.3 </w:t>
      </w:r>
      <w:r>
        <w:rPr/>
        <w:t xml:space="preserve">Диагностическое обеспечение должно предусматривать регистрацию DDM, LOS/LOF/Yellow Alarm и статистики задержки, формирование сообщений и отчётов для РМО.</w:t>
      </w:r>
    </w:p>
    <w:p>
      <w:pPr>
        <w:spacing w:after="55"/>
      </w:pPr>
      <w:r>
        <w:rPr>
          <w:b/>
        </w:rPr>
        <w:t xml:space="preserve">5.4 </w:t>
      </w:r>
      <w:r>
        <w:rPr/>
        <w:t xml:space="preserve">Программное обеспечение должно включать bitstream функционального модуля для Flash базовой платы, драйверы Linux и MIB для РМО.</w:t>
      </w:r>
    </w:p>
    <w:p>
      <w:pPr>
        <w:spacing w:after="100"/>
      </w:pPr>
      <w:r>
        <w:rPr>
          <w:b/>
          <w:i/>
        </w:rPr>
        <w:t xml:space="preserve">Проверка. </w:t>
      </w:r>
      <w:r>
        <w:rPr>
          <w:i/>
        </w:rPr>
        <w:t xml:space="preserve">Инспекцией РКД, программной документации и демонстрацией функций подтвердить наличие предусмотренных средств/методик, состав диагностики, сообщения и отчёты РМО, bitstream, драйверы Linux и MIB. Точностные показатели средств измерений не заданы: [уточнить].</w:t>
      </w:r>
    </w:p>
    <w:p>
      <w:pPr>
        <w:pStyle w:val="H1"/>
        <w:spacing w:before="0" w:after="100"/>
      </w:pPr>
      <w:r>
        <w:rPr>
          <w:b/>
        </w:rPr>
        <w:t xml:space="preserve">6 Требования к сырью, материалам и комплектующим изделиям</w:t>
      </w:r>
    </w:p>
    <w:p>
      <w:pPr>
        <w:spacing w:after="55"/>
      </w:pPr>
      <w:r>
        <w:rPr>
          <w:b/>
        </w:rPr>
        <w:t xml:space="preserve">6.1 </w:t>
      </w:r>
      <w:r>
        <w:rPr/>
        <w:t xml:space="preserve">Следует обеспечивать приоритет отечественных материалов и комплектующих с приёмкой ОТК.</w:t>
      </w:r>
    </w:p>
    <w:p>
      <w:pPr>
        <w:spacing w:after="55"/>
      </w:pPr>
      <w:r>
        <w:rPr>
          <w:b/>
        </w:rPr>
        <w:t xml:space="preserve">6.2 </w:t>
      </w:r>
      <w:r>
        <w:rPr/>
        <w:t xml:space="preserve">При отсутствии аналогов допускается импортная ЭКБ промышленного температурного диапазона.</w:t>
      </w:r>
    </w:p>
    <w:p>
      <w:pPr>
        <w:spacing w:after="100"/>
      </w:pPr>
      <w:r>
        <w:rPr>
          <w:b/>
          <w:i/>
        </w:rPr>
        <w:t xml:space="preserve">Проверка. </w:t>
      </w:r>
      <w:r>
        <w:rPr>
          <w:i/>
        </w:rPr>
        <w:t xml:space="preserve">Инспекцией перечня материалов, комплектующих и документов приёмки подтвердить приоритет отечественных материалов/комплектующих и приёмку ОТК; применение импортной ЭКБ допускается только при отсутствии аналогов и в промышленном температурном диапазоне.</w:t>
      </w:r>
    </w:p>
    <w:p>
      <w:pPr>
        <w:pStyle w:val="H1"/>
        <w:spacing w:before="0" w:after="100"/>
      </w:pPr>
      <w:r>
        <w:rPr>
          <w:b/>
        </w:rPr>
        <w:t xml:space="preserve">7 Требования к консервации, упаковке и маркировке</w:t>
      </w:r>
    </w:p>
    <w:p>
      <w:pPr>
        <w:spacing w:after="55"/>
      </w:pPr>
      <w:r>
        <w:rPr>
          <w:b/>
        </w:rPr>
        <w:t xml:space="preserve">7.1 </w:t>
      </w:r>
      <w:r>
        <w:rPr/>
        <w:t xml:space="preserve">Маркировка должна включать децимальный и серийный номера, ревизию и обозначения C37-1…C37-4.</w:t>
      </w:r>
    </w:p>
    <w:p>
      <w:pPr>
        <w:spacing w:after="55"/>
      </w:pPr>
      <w:r>
        <w:rPr>
          <w:b/>
        </w:rPr>
        <w:t xml:space="preserve">7.2 </w:t>
      </w:r>
      <w:r>
        <w:rPr/>
        <w:t xml:space="preserve">Оптические разъёмы должны быть защищены колпачками.</w:t>
      </w:r>
    </w:p>
    <w:p>
      <w:pPr>
        <w:spacing w:after="55"/>
      </w:pPr>
      <w:r>
        <w:rPr>
          <w:b/>
        </w:rPr>
        <w:t xml:space="preserve">7.3 </w:t>
      </w:r>
      <w:r>
        <w:rPr/>
        <w:t xml:space="preserve">Хранение в заводской таре должно быть обеспечено не менее 1 года по ГОСТ 15150. Условия консервации, не заданные исходными данными, не устанавливаются.</w:t>
      </w:r>
    </w:p>
    <w:p>
      <w:pPr>
        <w:spacing w:after="100"/>
      </w:pPr>
      <w:r>
        <w:rPr>
          <w:b/>
          <w:i/>
        </w:rPr>
        <w:t xml:space="preserve">Проверка. </w:t>
      </w:r>
      <w:r>
        <w:rPr>
          <w:i/>
        </w:rPr>
        <w:t xml:space="preserve">Инспекцией маркировки, колпачков и заводской тары подтвердить требования 7.1–7.3. Иные условия консервации не определены и не являются критериями настоящего ТЗ.</w:t>
      </w:r>
    </w:p>
    <w:p>
      <w:pPr>
        <w:pStyle w:val="H1"/>
        <w:spacing w:before="0" w:after="100"/>
      </w:pPr>
      <w:r>
        <w:rPr>
          <w:b/>
        </w:rPr>
        <w:t xml:space="preserve">8 Специальные требования</w:t>
      </w:r>
    </w:p>
    <w:p>
      <w:pPr>
        <w:spacing w:after="55"/>
      </w:pPr>
      <w:r>
        <w:rPr>
          <w:b/>
        </w:rPr>
        <w:t xml:space="preserve">8.1 </w:t>
      </w:r>
      <w:r>
        <w:rPr/>
        <w:t xml:space="preserve">Телеметрия РМО (C++/Qt) должна включать мнемосхему четырёх портов, N, DDM в дБм, LOS/LOF/Yellow Alarm, задержку, асимметрию и статус P2.</w:t>
      </w:r>
    </w:p>
    <w:p>
      <w:pPr>
        <w:spacing w:after="55"/>
      </w:pPr>
      <w:r>
        <w:rPr>
          <w:b/>
        </w:rPr>
        <w:t xml:space="preserve">8.2 </w:t>
      </w:r>
      <w:r>
        <w:rPr/>
        <w:t xml:space="preserve">Должны быть предусмотрены команды настройки N, режима тактирования и P2, управления петлями и запуска PRBS.</w:t>
      </w:r>
    </w:p>
    <w:p>
      <w:pPr>
        <w:spacing w:after="100"/>
      </w:pPr>
      <w:r>
        <w:rPr>
          <w:b/>
          <w:i/>
        </w:rPr>
        <w:t xml:space="preserve">Проверка. </w:t>
      </w:r>
      <w:r>
        <w:rPr>
          <w:i/>
        </w:rPr>
        <w:t xml:space="preserve">Демонстрацией РМО подтвердить мнемосхему четырёх портов и весь заданный состав телеметрии; испытанием команд — настройку N, режима тактирования, P2, управление петлями и запуск PRBS.</w:t>
      </w:r>
    </w:p>
    <w:p>
      <w:r>
        <w:br w:type="page"/>
      </w:r>
    </w:p>
    <w:p>
      <w:pPr>
        <w:jc w:val="center"/>
        <w:spacing w:before="0" w:after="260"/>
      </w:pPr>
      <w:r>
        <w:rPr>
          <w:b/>
          <w:sz w:val="22"/>
          <w:szCs w:val="22"/>
        </w:rPr>
        <w:t xml:space="preserve">ПОДПИСИ РАЗРАБОТЧИКОВ И СОГЛАСУЮЩИХ ОРГАНИЗАЦИЙ</w:t>
      </w:r>
    </w:p>
    <w:p>
      <w:pPr>
        <w:spacing w:before="0" w:after="0"/>
      </w:pPr>
      <w:r>
        <w:rPr>
          <w:b/>
        </w:rPr>
        <w:t xml:space="preserve">Разработчик ТЗ</w:t>
      </w:r>
    </w:p>
    <w:p>
      <w:pPr/>
      <w:r>
        <w:rPr/>
        <w:t xml:space="preserve">Должность, организация: [уточнить]</w:t>
      </w:r>
    </w:p>
    <w:p>
      <w:pPr>
        <w:spacing w:before="0" w:after="260"/>
      </w:pPr>
      <w:r>
        <w:rPr/>
        <w:t xml:space="preserve">Подпись: —     Инициалы, фамилия: [уточнить]     Дата: [уточнить]</w:t>
      </w:r>
    </w:p>
    <w:p>
      <w:pPr>
        <w:spacing w:before="0" w:after="0"/>
      </w:pPr>
      <w:r>
        <w:rPr>
          <w:b/>
        </w:rPr>
        <w:t xml:space="preserve">СОГЛАСОВАНО</w:t>
      </w:r>
    </w:p>
    <w:p>
      <w:pPr>
        <w:spacing w:before="0" w:after="180"/>
      </w:pPr>
      <w:r>
        <w:rPr/>
        <w:t xml:space="preserve">Головной исполнитель ОКР: должность [уточнить]; подпись —; инициалы, фамилия [уточнить]; дата [уточнить].</w:t>
      </w:r>
    </w:p>
    <w:p>
      <w:pPr>
        <w:spacing w:before="0" w:after="0"/>
      </w:pPr>
      <w:r>
        <w:rPr>
          <w:b/>
        </w:rPr>
        <w:t xml:space="preserve">СОГЛАСОВАНО</w:t>
      </w:r>
    </w:p>
    <w:p>
      <w:pPr/>
      <w:r>
        <w:rPr/>
        <w:t xml:space="preserve">Другие согласующие организации: должность, организация, подпись, инициалы, фамилия, дата — [уточнить].</w:t>
      </w:r>
    </w:p>
    <w:sectPr>
      <w:headerReference w:type="default" r:id="rId2"/>
      <w:pgSz w:w="11906" w:h="16838"/>
      <w:pgMar w:top="1134" w:right="1134" w:bottom="1134" w:left="1701" w:header="708" w:footer="708" w:gutter="0"/>
      <w:pgNumType w:start="1"/>
    </w:sectPr>
  </w:body>
</w:document>
</file>

<file path=word/header1.xml><?xml version="1.0" encoding="utf-8"?>
<w:hdr xmlns:w="http://schemas.openxmlformats.org/wordprocessingml/2006/main">
  <w:p>
    <w:pPr>
      <w:jc w:val="right"/>
    </w:pPr>
    <w:r>
      <w:fldChar w:fldCharType="begin"/>
    </w:r>
    <w:r>
      <w:instrText>PAGE</w:instrText>
    </w:r>
    <w:r>
      <w:fldChar w:fldCharType="end"/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ru-RU"/>
      </w:rPr>
    </w:rPrDefault>
    <w:pPrDefault>
      <w:pPr>
        <w:spacing w:line="276" w:lineRule="auto" w:after="80"/>
      </w:pPr>
    </w:pPrDefault>
  </w:docDefaults>
  <w:style w:type="paragraph" w:styleId="H1">
    <w:name w:val="Heading 1"/>
    <w:basedOn w:val="Normal"/>
    <w:pPr>
      <w:keepNext/>
      <w:spacing w:before="240" w:after="120"/>
    </w:pPr>
    <w:rPr>
      <w:b/>
      <w:sz w:val="28"/>
    </w:rPr>
  </w:style>
  <w:style w:type="paragraph" w:styleId="H2">
    <w:name w:val="Heading 2"/>
    <w:basedOn w:val="Normal"/>
    <w:pPr>
      <w:keepNext/>
      <w:spacing w:before="160" w:after="80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>
  <Application>LibreOffice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Техническое задание — Развитие-ТСА</dc:title>
  <dc:language>ru-RU</dc:language>
  <dc:creator>Codex</dc:creator>
</cp:coreProperties>
</file>