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СОГЛАСОВАНО
Заказчик (НИО заказчика):
должность, подпись, инициалы, фамилия
«___» __________ 20__ г.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СОГЛАСОВАНО
Исполнитель составной части ОКР:
ООО «тушканчик»
должность, подпись, инициалы, фамилия
«___» __________ 20__ г.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УТВЕРЖДАЮ
Головной исполнитель ОКР:
должность, подпись, инициалы, фамилия
«___» __________ 20__ г.</w:t>
            </w:r>
          </w:p>
        </w:tc>
      </w:tr>
    </w:tbl>
    <w:p>
      <w:pPr>
        <w:jc w:val="center"/>
        <w:spacing w:after="100"/>
      </w:pPr>
      <w:r>
        <w:rPr>
          <w:b/>
          <w:sz w:val="28"/>
          <w:szCs w:val="28"/>
        </w:rPr>
        <w:t xml:space="preserve">ТЕХНИЧЕСКОЕ ЗАДАНИЕ НА СОСТАВНУЮ ЧАСТЬ ОПЫТНО-КОНСТРУКТОРСКОЙ РАБОТЫ</w:t>
      </w:r>
    </w:p>
    <w:p>
      <w:pPr>
        <w:spacing w:after="100"/>
      </w:pPr>
      <w:r>
        <w:rPr>
          <w:sz w:val="22"/>
          <w:szCs w:val="22"/>
        </w:rPr>
        <w:t xml:space="preserve">Разработка сменной интерфейсной субплаты 8×E1 и функционального модуля E1 для универсального базового модуля AMC семейства ДММП</w:t>
      </w:r>
    </w:p>
    <w:p>
      <w:pPr>
        <w:spacing w:after="100"/>
      </w:pPr>
      <w:r>
        <w:rPr>
          <w:sz w:val="22"/>
          <w:szCs w:val="22"/>
        </w:rPr>
        <w:t xml:space="preserve">Шифр ОКР: «Развитие-ТСА»</w:t>
      </w:r>
    </w:p>
    <w:p>
      <w:pPr>
        <w:spacing w:after="100"/>
      </w:pPr>
      <w:r>
        <w:rPr>
          <w:sz w:val="22"/>
          <w:szCs w:val="22"/>
        </w:rPr>
        <w:t xml:space="preserve">Регистрационный номер: [уточнить]</w:t>
      </w:r>
    </w:p>
    <w:p>
      <w:pPr>
        <w:spacing w:after="100"/>
      </w:pPr>
      <w:r>
        <w:rPr>
          <w:sz w:val="22"/>
          <w:szCs w:val="22"/>
        </w:rPr>
        <w:t xml:space="preserve">Обозначение изделия: [уточнить]</w:t>
      </w:r>
    </w:p>
    <w:p>
      <w:pPr>
        <w:spacing w:after="100"/>
      </w:pPr>
      <w:r>
        <w:rPr>
          <w:sz w:val="22"/>
          <w:szCs w:val="22"/>
        </w:rPr>
        <w:t xml:space="preserve">Действует с дополнением: [уточнить]</w:t>
      </w:r>
    </w:p>
    <w:p>
      <w:r>
        <w:br w:type="page"/>
      </w:r>
    </w:p>
    <w:p>
      <w:pPr>
        <w:jc w:val="center"/>
        <w:spacing w:after="100"/>
      </w:pPr>
      <w:r>
        <w:rPr>
          <w:b/>
          <w:sz w:val="28"/>
          <w:szCs w:val="28"/>
        </w:rPr>
        <w:t xml:space="preserve">ЛИСТ СОГЛАСОВАНИЯ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Организация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Должность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Подпись, инициалы, фамилия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Заказчик (НИО заказчика)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Головной исполнитель ОКР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Исполнитель составной части ОКР — ООО «тушканчик»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Другие согласующие организации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[уточнить]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Примечание — Состав иных согласующих организаций, должности, ФИО, подписи и даты не заданы исходными данными и подлежат уточнению.</w:t>
      </w:r>
    </w:p>
    <w:p>
      <w:r>
        <w:br w:type="page"/>
      </w:r>
    </w:p>
    <w:p>
      <w:pPr>
        <w:jc w:val="center"/>
        <w:spacing w:after="100"/>
      </w:pPr>
      <w:r>
        <w:rPr>
          <w:b/>
          <w:sz w:val="28"/>
          <w:szCs w:val="28"/>
        </w:rPr>
        <w:t xml:space="preserve">ОБОЗНАЧЕНИЯ, СОКРАЩЕНИЯ И ТЕРМИНЫ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Обозначение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Раскрытие или значение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AMC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Обозначение форм-фактора и интерфейсной платформы изделия; полное раскрытие в исходных данных не задано [уточнить].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ПЛИС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Программируемая логическая интегральная схема.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B2B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Межплатное соединение; полное раскрытие в исходных данных не задано [уточнить].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Board ID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Идентификатор платы; числовое значение не задано [уточнить].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MMC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Обозначение интерфейса/функции, предоставляемой базовой платой; раскрытие в исходных данных не задано [уточнить].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РМО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Рабочее место оператора; полное раскрытие в исходных данных не задано [уточнить].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ПМИ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Программа и методика испытаний; полное раскрытие в исходных данных не задано [уточнить].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ОКР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Опытно-конструкторская работа.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РКД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Рабочая конструкторская документация.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СЧ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Составная часть.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КД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Конструкторские документы (документация).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ЭРИ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Электрорадиоизделия.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ЕСКД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Единая система конструкторской документации.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ЕСПД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Единая система программной документации.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НД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Нормативные документы.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СИ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Средства измерений.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ТЗ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Техническое задание.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ТД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Техническая документация.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ЭД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Эксплуатационная документация.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Техническое задание (ТЗ) — исходный технический документ для проведения работы, устанавливающий требования к создаваемому изделию (его СЧ или КИМП) и технической документации на него, а также требования к объёму, срокам проведения работы и форме представления результатов.</w:t>
      </w:r>
    </w:p>
    <w:p>
      <w:pPr>
        <w:spacing w:after="100"/>
      </w:pPr>
      <w:r>
        <w:rPr>
          <w:sz w:val="22"/>
          <w:szCs w:val="22"/>
        </w:rPr>
        <w:t xml:space="preserve">Головной исполнитель — предприятие (организация, объединение), выполняющее работу по созданию изделия (комплекса, системы), координирующее деятельность исполнителей составных частей этой работы и отвечающее за выполнение работы в целом.</w:t>
      </w:r>
    </w:p>
    <w:p>
      <w:r>
        <w:br w:type="page"/>
      </w:r>
    </w:p>
    <w:p>
      <w:pPr>
        <w:jc w:val="center"/>
        <w:spacing w:after="100"/>
      </w:pPr>
      <w:r>
        <w:rPr>
          <w:b/>
          <w:sz w:val="28"/>
          <w:szCs w:val="28"/>
        </w:rPr>
        <w:t xml:space="preserve">ПЕРЕЧЕНЬ ПРИМЕНИМЫХ НОРМАТИВНЫХ И СПРАВОЧНЫХ ДОКУМЕНТОВ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Обозначение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Наименование/область применения по исходным данным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ГОСТ 15.016—2016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Система разработки и постановки продукции на производство. Техническое задание. Требования к содержанию и оформлению.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ITU-T G.703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Нормы для импульсного интерфейса E1.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ITU-T G.704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Структура кадров E1 и временные интервалы.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ITU-T G.823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Требования к джиттеру и вандеру.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ITU-T G.826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Статистика ошибок и показатели качества.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RFC 4553 (SAToP)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Передача неструктурированного TDM через пакетную сеть.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RFC 5086 (CESoPSN)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Передача структурированного TDM через пакетную сеть.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PICMG AMC.0 R2.0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Требования к AMC.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ГОСТ РВ 20.39.304-98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Стойкость по группам 1.1, 1.3, 1.4.1, исполнение «О».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ГОСТ В 25803-91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Радиопомехи, группа 1.1.1.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ГОСТ 2.114—2016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Документация изделия.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ГОСТ РВ 15.201-2003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Документация и работы в системе разработки и постановки продукции на производство.</w:t>
            </w:r>
          </w:p>
        </w:tc>
      </w:tr>
      <w:tr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ГОСТ 15150</w:t>
            </w:r>
          </w:p>
        </w:tc>
        <w:tc>
          <w:tcPr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r>
              <w:rPr>
                <w:sz w:val="18"/>
                <w:szCs w:val="18"/>
              </w:rPr>
              <w:t xml:space="preserve">Исполнение для различных климатических районов, категории, условия эксплуатации, хранения и транспортирования.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Примечание — Применение каждого документа ограничено требованиями, прямо заданными настоящим ТЗ и исходными данными. Издание документов отдельно не задано.</w:t>
      </w:r>
    </w:p>
    <w:p>
      <w:pPr>
        <w:spacing w:after="100"/>
      </w:pPr>
      <w:r>
        <w:rPr>
          <w:b/>
          <w:sz w:val="24"/>
          <w:szCs w:val="24"/>
        </w:rPr>
        <w:t xml:space="preserve">1 Наименование, шифр, основание, исполнители и сроки ОКР</w:t>
      </w:r>
    </w:p>
    <w:p>
      <w:pPr>
        <w:spacing w:after="100"/>
      </w:pPr>
      <w:r>
        <w:rPr>
          <w:sz w:val="22"/>
          <w:szCs w:val="22"/>
        </w:rPr>
        <w:t xml:space="preserve">1.1. Наименование составной части ОКР: сменная интерфейсная субплата 8×E1 и функциональный модуль E1 для универсального базового модуля AMC семейства ДММП.</w:t>
      </w:r>
    </w:p>
    <w:p>
      <w:pPr>
        <w:spacing w:after="100"/>
      </w:pPr>
      <w:r>
        <w:rPr>
          <w:sz w:val="22"/>
          <w:szCs w:val="22"/>
        </w:rPr>
        <w:t xml:space="preserve">1.2. Шифр ОКР: «Развитие-ТСА». Для составной части ОКР сохраняется шифр «Развитие-ТСА»; дополнительный шифр СЧ не задан [уточнить].</w:t>
      </w:r>
    </w:p>
    <w:p>
      <w:pPr>
        <w:spacing w:after="100"/>
      </w:pPr>
      <w:r>
        <w:rPr>
          <w:sz w:val="22"/>
          <w:szCs w:val="22"/>
        </w:rPr>
        <w:t xml:space="preserve">1.3. Основание: приказ об открытии инициативной ОКР № [уточнить] от [уточнить].</w:t>
      </w:r>
    </w:p>
    <w:p>
      <w:pPr>
        <w:spacing w:after="100"/>
      </w:pPr>
      <w:r>
        <w:rPr>
          <w:sz w:val="22"/>
          <w:szCs w:val="22"/>
        </w:rPr>
        <w:t xml:space="preserve">1.4. Исполнитель: ООО «тушканчик» (условное наименование из исходных данных).</w:t>
      </w:r>
    </w:p>
    <w:p>
      <w:pPr>
        <w:spacing w:after="100"/>
      </w:pPr>
      <w:r>
        <w:rPr>
          <w:sz w:val="22"/>
          <w:szCs w:val="22"/>
        </w:rPr>
        <w:t xml:space="preserve">1.5. Сроки выполнения: установить в соответствии с утверждённым планом-графиком разработки РКД, программной документации, изготовления образцов и испытаний. Конкретные календарные даты не заданы [уточнить].</w:t>
      </w:r>
    </w:p>
    <w:p>
      <w:pPr>
        <w:spacing w:after="100"/>
      </w:pPr>
      <w:r>
        <w:rPr>
          <w:sz w:val="22"/>
          <w:szCs w:val="22"/>
        </w:rPr>
        <w:t xml:space="preserve">Проверка: инспекция приказа, реквизитов исполнителя и утверждённого плана-графика; подтверждение наличия сроков разработки РКД, программной документации, изготовления образцов и испытаний.</w:t>
      </w:r>
    </w:p>
    <w:p>
      <w:pPr>
        <w:spacing w:after="100"/>
      </w:pPr>
      <w:r>
        <w:rPr>
          <w:b/>
          <w:sz w:val="24"/>
          <w:szCs w:val="24"/>
        </w:rPr>
        <w:t xml:space="preserve">2 Цель выполнения, наименование, назначение и область применения изделия</w:t>
      </w:r>
    </w:p>
    <w:p>
      <w:pPr>
        <w:spacing w:after="100"/>
      </w:pPr>
      <w:r>
        <w:rPr>
          <w:sz w:val="22"/>
          <w:szCs w:val="22"/>
        </w:rPr>
        <w:t xml:space="preserve">2.1. Цель выполнения ОКР — разработать сменную интерфейсную субплату 8×E1 и функциональный модуль E1, обеспечивающие подключение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pPr>
        <w:spacing w:after="100"/>
      </w:pPr>
      <w:r>
        <w:rPr>
          <w:sz w:val="22"/>
          <w:szCs w:val="22"/>
        </w:rPr>
        <w:t xml:space="preserve">2.2. Область применения: TDM/SDH/PDH, телефонные станции, диспетчеризация и АСУ ТП энергетических и промышленных предприятий.</w:t>
      </w:r>
    </w:p>
    <w:p>
      <w:pPr>
        <w:spacing w:after="100"/>
      </w:pPr>
      <w:r>
        <w:rPr>
          <w:sz w:val="22"/>
          <w:szCs w:val="22"/>
        </w:rPr>
        <w:t xml:space="preserve">2.3. Изделие устанавливается на AMC Carrier платформы ДММП. Аппаратная часть включает субплату с интерфейсами линий E1, защитой, трансиверами и EEPROM. Логическая часть включает функциональный модуль ПЛИС базовой платы, автоматически активируемый по Board ID.</w:t>
      </w:r>
    </w:p>
    <w:p>
      <w:pPr>
        <w:spacing w:after="100"/>
      </w:pPr>
      <w:r>
        <w:rPr>
          <w:sz w:val="22"/>
          <w:szCs w:val="22"/>
        </w:rPr>
        <w:t xml:space="preserve">Проверка: инспекция состава изделия и установка на AMC Carrier; тестовая передача восьми независимых потоков E1 через Ethernet с компенсацией джиттера и восстановлением частоты.</w:t>
      </w:r>
    </w:p>
    <w:p>
      <w:pPr>
        <w:spacing w:after="100"/>
      </w:pPr>
      <w:r>
        <w:rPr>
          <w:b/>
          <w:sz w:val="24"/>
          <w:szCs w:val="24"/>
        </w:rPr>
        <w:t xml:space="preserve">3 Технические требования к изделию</w:t>
      </w:r>
    </w:p>
    <w:p>
      <w:pPr>
        <w:spacing w:after="100"/>
      </w:pPr>
      <w:r>
        <w:rPr>
          <w:b/>
          <w:sz w:val="22"/>
          <w:szCs w:val="22"/>
        </w:rPr>
        <w:t xml:space="preserve">3.1 Архитектура и линии E1</w:t>
      </w:r>
    </w:p>
    <w:p>
      <w:pPr>
        <w:spacing w:after="100"/>
      </w:pPr>
      <w:r>
        <w:rPr>
          <w:sz w:val="22"/>
          <w:szCs w:val="22"/>
        </w:rPr>
        <w:t xml:space="preserve">Субплата должна иметь 8 экранированных разъёмов RJ-48C (8P8C), цепи защиты, импульсные трансформаторы, восьмиканальный LIU, Board ID EEPROM и индикацию портов.</w:t>
      </w:r>
    </w:p>
    <w:p>
      <w:pPr>
        <w:spacing w:after="100"/>
      </w:pPr>
      <w:r>
        <w:rPr>
          <w:sz w:val="22"/>
          <w:szCs w:val="22"/>
        </w:rPr>
        <w:t xml:space="preserve">Числовой Board ID: [уточнить]. Базовая плата через B2B должна предоставлять субплате +12 В, +3,3 В, MMC и тактирование, а также выбирать bitstream E1 из Flash по Board ID.</w:t>
      </w:r>
    </w:p>
    <w:p>
      <w:pPr>
        <w:spacing w:after="100"/>
      </w:pPr>
      <w:r>
        <w:rPr>
          <w:sz w:val="22"/>
          <w:szCs w:val="22"/>
        </w:rPr>
        <w:t xml:space="preserve">Каждый порт должен иметь симметричный двухпарный интерфейс 120 Ом, скорость 2048 кбит/с (2,048 Мбит/с) ±50 ppm, кодирование HDB3 или AMI и маску импульса по ITU-T G.703.</w:t>
      </w:r>
    </w:p>
    <w:p>
      <w:pPr>
        <w:spacing w:after="100"/>
      </w:pPr>
      <w:r>
        <w:rPr>
          <w:sz w:val="22"/>
          <w:szCs w:val="22"/>
        </w:rPr>
        <w:t xml:space="preserve">Трансформаторная изоляция каждого порта должна быть не менее 1500 В RMS при 50 Гц в течение 1 мин. Должна быть предусмотрена супрессорная защита от перенапряжений и ESD.</w:t>
      </w:r>
    </w:p>
    <w:p>
      <w:pPr>
        <w:spacing w:after="100"/>
      </w:pPr>
      <w:r>
        <w:rPr>
          <w:sz w:val="22"/>
          <w:szCs w:val="22"/>
        </w:rPr>
        <w:t xml:space="preserve">Короткое замыкание, обрыв или перепутывание пар одного порта не должны влиять на другие порты и модуль.</w:t>
      </w:r>
    </w:p>
    <w:p>
      <w:pPr>
        <w:spacing w:after="100"/>
      </w:pPr>
      <w:r>
        <w:rPr>
          <w:sz w:val="22"/>
          <w:szCs w:val="22"/>
        </w:rPr>
        <w:t xml:space="preserve">Проверка: осмотр и измерение состава субплаты, электрических параметров, маски импульса и изоляции; поочерёдное создание КЗ, обрыва и перепутывания пар на одном порту при контроле работоспособности остальных портов и модуля.</w:t>
      </w:r>
    </w:p>
    <w:p>
      <w:pPr>
        <w:spacing w:after="100"/>
      </w:pPr>
      <w:r>
        <w:rPr>
          <w:b/>
          <w:sz w:val="22"/>
          <w:szCs w:val="22"/>
        </w:rPr>
        <w:t xml:space="preserve">3.2 Обработка, тактирование и аварии</w:t>
      </w:r>
    </w:p>
    <w:p>
      <w:pPr>
        <w:spacing w:after="100"/>
      </w:pPr>
      <w:r>
        <w:rPr>
          <w:sz w:val="22"/>
          <w:szCs w:val="22"/>
        </w:rPr>
        <w:t xml:space="preserve">Для каждого порта независимо должны поддерживаться профиль А SAToP (RFC 4553) — полный неструктурированный поток с настраиваемой полезной нагрузкой и минимальной аппаратной задержкой.</w:t>
      </w:r>
    </w:p>
    <w:p>
      <w:pPr>
        <w:spacing w:after="100"/>
      </w:pPr>
      <w:r>
        <w:rPr>
          <w:sz w:val="22"/>
          <w:szCs w:val="22"/>
        </w:rPr>
        <w:t xml:space="preserve">Для каждого порта независимо должен поддерживаться профиль Б CESoPSN (RFC 5086), N×64 кбит/с, TS1–TS31, ITU-T G.704, CRC-4, CAS (TS16) и CCS.</w:t>
      </w:r>
    </w:p>
    <w:p>
      <w:pPr>
        <w:spacing w:after="100"/>
      </w:pPr>
      <w:r>
        <w:rPr>
          <w:sz w:val="22"/>
          <w:szCs w:val="22"/>
        </w:rPr>
        <w:t xml:space="preserve">Обмен с платформой должен выполняться через Fabric 10GbE со Strict Priority QoS, без потерь и с минимальной задержкой коммутации.</w:t>
      </w:r>
    </w:p>
    <w:p>
      <w:pPr>
        <w:spacing w:after="100"/>
      </w:pPr>
      <w:r>
        <w:rPr>
          <w:sz w:val="22"/>
          <w:szCs w:val="22"/>
        </w:rPr>
        <w:t xml:space="preserve">Джиттер-буфер каждого канала должен иметь настройку от 1 до 64 мс для компенсации PDV.</w:t>
      </w:r>
    </w:p>
    <w:p>
      <w:pPr>
        <w:spacing w:after="100"/>
      </w:pPr>
      <w:r>
        <w:rPr>
          <w:sz w:val="22"/>
          <w:szCs w:val="22"/>
        </w:rPr>
        <w:t xml:space="preserve">При потере пакетов или аварии сети изделие должно выдавать AIS («все единицы») с сохранением тактирования.</w:t>
      </w:r>
    </w:p>
    <w:p>
      <w:pPr>
        <w:spacing w:after="100"/>
      </w:pPr>
      <w:r>
        <w:rPr>
          <w:sz w:val="22"/>
          <w:szCs w:val="22"/>
        </w:rPr>
        <w:t xml:space="preserve">Режимы передатчика: системный TCLK, ACR от пакетной сети, Free-run/Holdover, Loop timing.</w:t>
      </w:r>
    </w:p>
    <w:p>
      <w:pPr>
        <w:spacing w:after="100"/>
      </w:pPr>
      <w:r>
        <w:rPr>
          <w:sz w:val="22"/>
          <w:szCs w:val="22"/>
        </w:rPr>
        <w:t xml:space="preserve">Восстановленные 2,048 МГц любого выбранного входного порта должны передаваться через B2B как кандидат синхронизации шасси. Джиттер и вандер должны соответствовать ITU-T G.823.</w:t>
      </w:r>
    </w:p>
    <w:p>
      <w:pPr>
        <w:spacing w:after="100"/>
      </w:pPr>
      <w:r>
        <w:rPr>
          <w:sz w:val="22"/>
          <w:szCs w:val="22"/>
        </w:rPr>
        <w:t xml:space="preserve">Непрерывно должны контролироваться LOS, LOF в кадровом режиме, AIS, RAI, CRC-4, нарушения HDB3 и Frame slips. Должна вестись статистика ITU-T G.826: ES, SES, UAS.</w:t>
      </w:r>
    </w:p>
    <w:p>
      <w:pPr>
        <w:spacing w:after="100"/>
      </w:pPr>
      <w:r>
        <w:rPr>
          <w:sz w:val="22"/>
          <w:szCs w:val="22"/>
        </w:rPr>
        <w:t xml:space="preserve">Для каждого порта должны быть предусмотрены Local Line Loopback, Payload Loopback и Packet Loopback, а также встроенные генератор и анализатор PRBS 2^15−1 и 2^23−1 для BER-тестов.</w:t>
      </w:r>
    </w:p>
    <w:p>
      <w:pPr>
        <w:spacing w:after="100"/>
      </w:pPr>
      <w:r>
        <w:rPr>
          <w:sz w:val="22"/>
          <w:szCs w:val="22"/>
        </w:rPr>
        <w:t xml:space="preserve">Проверка: тестирование каждого профиля, режима тактирования, границ настройки буфера 1 и 64 мс, выдачи AIS при потере пакетов/аварии сети, передачи кандидата синхронизации, регистрации LOS/LOF/AIS/RAI/CRC-4/HDB3/Frame slips, счётчиков ES/SES/UAS, трёх видов loopback и PRBS 2^15−1 и 2^23−1. Приёмочные критерии — перечисленные в настоящем подразделе режимы, сигналы, значения и соответствие ITU-T G.823; дополнительные допуски и длительности не заданы [уточнить в ПМИ].</w:t>
      </w:r>
    </w:p>
    <w:p>
      <w:pPr>
        <w:spacing w:after="100"/>
      </w:pPr>
      <w:r>
        <w:rPr>
          <w:b/>
          <w:sz w:val="22"/>
          <w:szCs w:val="22"/>
        </w:rPr>
        <w:t xml:space="preserve">3.3 Конструкция и эксплуатация</w:t>
      </w:r>
    </w:p>
    <w:p>
      <w:pPr>
        <w:spacing w:after="100"/>
      </w:pPr>
      <w:r>
        <w:rPr>
          <w:sz w:val="22"/>
          <w:szCs w:val="22"/>
        </w:rPr>
        <w:t xml:space="preserve">Субплата должна крепиться к общему лонжерону-теплоотводу и лицевой панели. Разъёмы должны обеспечивать доступ к защёлкам, обзор светодиодов и вентиляцию.</w:t>
      </w:r>
    </w:p>
    <w:p>
      <w:pPr>
        <w:spacing w:after="100"/>
      </w:pPr>
      <w:r>
        <w:rPr>
          <w:sz w:val="22"/>
          <w:szCs w:val="22"/>
        </w:rPr>
        <w:t xml:space="preserve">Мощность при всех активных портах: субплата — не более 12 Вт, сборка — не более 35 Вт.</w:t>
      </w:r>
    </w:p>
    <w:p>
      <w:pPr>
        <w:spacing w:after="100"/>
      </w:pPr>
      <w:r>
        <w:rPr>
          <w:sz w:val="22"/>
          <w:szCs w:val="22"/>
        </w:rPr>
        <w:t xml:space="preserve">Конструкция должна соответствовать Single Full-size AMC.0 и иметь размеры 73,5 × 180,6 × 28,95 мм.</w:t>
      </w:r>
    </w:p>
    <w:p>
      <w:pPr>
        <w:spacing w:after="100"/>
      </w:pPr>
      <w:r>
        <w:rPr>
          <w:sz w:val="22"/>
          <w:szCs w:val="22"/>
        </w:rPr>
        <w:t xml:space="preserve">Межплатное крепление должно выполняться на 4–6 металлических стойках М2,5.</w:t>
      </w:r>
    </w:p>
    <w:p>
      <w:pPr>
        <w:spacing w:after="100"/>
      </w:pPr>
      <w:r>
        <w:rPr>
          <w:sz w:val="22"/>
          <w:szCs w:val="22"/>
        </w:rPr>
        <w:t xml:space="preserve">Стойкость должна соответствовать ГОСТ РВ 20.39.304-98, группы 1.1, 1.3, 1.4.1, исполнение «О». Рабочая температура: −10…+50 °C; предельная: −40…+65 °C; синусоидальная вибрация: 5g; удары: 15g.</w:t>
      </w:r>
    </w:p>
    <w:p>
      <w:pPr>
        <w:spacing w:after="100"/>
      </w:pPr>
      <w:r>
        <w:rPr>
          <w:sz w:val="22"/>
          <w:szCs w:val="22"/>
        </w:rPr>
        <w:t xml:space="preserve">Радиопомехи должны соответствовать группе 1.1.1 ГОСТ В 25803-91.</w:t>
      </w:r>
    </w:p>
    <w:p>
      <w:pPr>
        <w:spacing w:after="100"/>
      </w:pPr>
      <w:r>
        <w:rPr>
          <w:sz w:val="22"/>
          <w:szCs w:val="22"/>
        </w:rPr>
        <w:t xml:space="preserve">MTBF — не менее 15 000 ч; назначенный срок службы — не менее 20 лет.</w:t>
      </w:r>
    </w:p>
    <w:p>
      <w:pPr>
        <w:spacing w:after="100"/>
      </w:pPr>
      <w:r>
        <w:rPr>
          <w:sz w:val="22"/>
          <w:szCs w:val="22"/>
        </w:rPr>
        <w:t xml:space="preserve">Проверка: измерение габаритов, количества стоек, мощности в заданном режиме и температурных/механических параметров; испытания по заданным группам стойкости и радиопомехам; расчётная или экспериментальная оценка MTBF и срока службы по методике, подлежащей заданию в ПМИ [уточнить].</w:t>
      </w:r>
    </w:p>
    <w:p>
      <w:pPr>
        <w:spacing w:after="100"/>
      </w:pPr>
      <w:r>
        <w:rPr>
          <w:b/>
          <w:sz w:val="24"/>
          <w:szCs w:val="24"/>
        </w:rPr>
        <w:t xml:space="preserve">4 Технико-экономические требования</w:t>
      </w:r>
    </w:p>
    <w:p>
      <w:pPr>
        <w:spacing w:after="100"/>
      </w:pPr>
      <w:r>
        <w:rPr>
          <w:sz w:val="22"/>
          <w:szCs w:val="22"/>
        </w:rPr>
        <w:t xml:space="preserve">Требования не предъявляются.</w:t>
      </w:r>
    </w:p>
    <w:p>
      <w:pPr>
        <w:spacing w:after="100"/>
      </w:pPr>
      <w:r>
        <w:rPr>
          <w:b/>
          <w:sz w:val="24"/>
          <w:szCs w:val="24"/>
        </w:rPr>
        <w:t xml:space="preserve">5 Требования к видам обеспечения</w:t>
      </w:r>
    </w:p>
    <w:p>
      <w:pPr>
        <w:spacing w:after="100"/>
      </w:pPr>
      <w:r>
        <w:rPr>
          <w:b/>
          <w:sz w:val="22"/>
          <w:szCs w:val="22"/>
        </w:rPr>
        <w:t xml:space="preserve">5.1 Нормативно-техническое обеспечение</w:t>
      </w:r>
    </w:p>
    <w:p>
      <w:pPr>
        <w:spacing w:after="100"/>
      </w:pPr>
      <w:r>
        <w:rPr>
          <w:sz w:val="22"/>
          <w:szCs w:val="22"/>
        </w:rPr>
        <w:t xml:space="preserve">Применять документы, перечисленные в перечне нормативных и справочных документов настоящего ТЗ, в части заданных требований.</w:t>
      </w:r>
    </w:p>
    <w:p>
      <w:pPr>
        <w:spacing w:after="100"/>
      </w:pPr>
      <w:r>
        <w:rPr>
          <w:b/>
          <w:sz w:val="22"/>
          <w:szCs w:val="22"/>
        </w:rPr>
        <w:t xml:space="preserve">5.2 Метрологическое обеспечение</w:t>
      </w:r>
    </w:p>
    <w:p>
      <w:pPr>
        <w:spacing w:after="100"/>
      </w:pPr>
      <w:r>
        <w:rPr>
          <w:sz w:val="22"/>
          <w:szCs w:val="22"/>
        </w:rPr>
        <w:t xml:space="preserve">Предусмотреть средства и методики измерения маски импульса E1, джиттера и вандера, BER и задержки пакетизации. Допуски измерений, состав средств измерений и методики, не заданные исходными данными, определить в ПМИ [уточнить].</w:t>
      </w:r>
    </w:p>
    <w:p>
      <w:pPr>
        <w:spacing w:after="100"/>
      </w:pPr>
      <w:r>
        <w:rPr>
          <w:b/>
          <w:sz w:val="22"/>
          <w:szCs w:val="22"/>
        </w:rPr>
        <w:t xml:space="preserve">5.3 Диагностическое обеспечение</w:t>
      </w:r>
    </w:p>
    <w:p>
      <w:pPr>
        <w:spacing w:after="100"/>
      </w:pPr>
      <w:r>
        <w:rPr>
          <w:sz w:val="22"/>
          <w:szCs w:val="22"/>
        </w:rPr>
        <w:t xml:space="preserve">Обеспечить регистрацию LOS, LOF, AIS, RAI и счётчиков ошибок, формирование сообщений и отчётов для РМО.</w:t>
      </w:r>
    </w:p>
    <w:p>
      <w:pPr>
        <w:spacing w:after="100"/>
      </w:pPr>
      <w:r>
        <w:rPr>
          <w:b/>
          <w:sz w:val="22"/>
          <w:szCs w:val="22"/>
        </w:rPr>
        <w:t xml:space="preserve">5.4 Программное обеспечение</w:t>
      </w:r>
    </w:p>
    <w:p>
      <w:pPr>
        <w:spacing w:after="100"/>
      </w:pPr>
      <w:r>
        <w:rPr>
          <w:sz w:val="22"/>
          <w:szCs w:val="22"/>
        </w:rPr>
        <w:t xml:space="preserve">Разработать bitstream функционального модуля для Flash базовой платы, драйверы Linux и MIB для РМО / SNMP.</w:t>
      </w:r>
    </w:p>
    <w:p>
      <w:pPr>
        <w:spacing w:after="100"/>
      </w:pPr>
      <w:r>
        <w:rPr>
          <w:sz w:val="22"/>
          <w:szCs w:val="22"/>
        </w:rPr>
        <w:t xml:space="preserve">Проверка: инспекция комплекта обеспечения; измерения по указанным методикам; проверка регистрации событий, формирования сообщений/отчётов, загрузки bitstream, работы драйверов Linux и MIB для РМО / SNMP.</w:t>
      </w:r>
    </w:p>
    <w:p>
      <w:pPr>
        <w:spacing w:after="100"/>
      </w:pPr>
      <w:r>
        <w:rPr>
          <w:b/>
          <w:sz w:val="24"/>
          <w:szCs w:val="24"/>
        </w:rPr>
        <w:t xml:space="preserve">6 Требования к сырью, материалам и комплектующим изделиям</w:t>
      </w:r>
    </w:p>
    <w:p>
      <w:pPr>
        <w:spacing w:after="100"/>
      </w:pPr>
      <w:r>
        <w:rPr>
          <w:sz w:val="22"/>
          <w:szCs w:val="22"/>
        </w:rPr>
        <w:t xml:space="preserve">Предусмотреть приоритет отечественных материалов и комплектующих с приёмкой ОТК.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spacing w:after="100"/>
      </w:pPr>
      <w:r>
        <w:rPr>
          <w:sz w:val="22"/>
          <w:szCs w:val="22"/>
        </w:rPr>
        <w:t xml:space="preserve">Проверка: анализ ведомости применённых материалов и комплектующих, документов поставки и отметок приёмки ОТК; для импортной ЭКБ — наличие обоснования отсутствия аналогов и подтверждение промышленного температурного диапазона.</w:t>
      </w:r>
    </w:p>
    <w:p>
      <w:pPr>
        <w:spacing w:after="100"/>
      </w:pPr>
      <w:r>
        <w:rPr>
          <w:b/>
          <w:sz w:val="24"/>
          <w:szCs w:val="24"/>
        </w:rPr>
        <w:t xml:space="preserve">7 Требования к консервации, упаковке и маркировке</w:t>
      </w:r>
    </w:p>
    <w:p>
      <w:pPr>
        <w:spacing w:after="100"/>
      </w:pPr>
      <w:r>
        <w:rPr>
          <w:sz w:val="22"/>
          <w:szCs w:val="22"/>
        </w:rPr>
        <w:t xml:space="preserve">7.1. Предусмотреть децимальный и серийный номера, ревизию и маркировку E1-1…E1-8.</w:t>
      </w:r>
    </w:p>
    <w:p>
      <w:pPr>
        <w:spacing w:after="100"/>
      </w:pPr>
      <w:r>
        <w:rPr>
          <w:sz w:val="22"/>
          <w:szCs w:val="22"/>
        </w:rPr>
        <w:t xml:space="preserve">7.2. Предусмотреть индивидуальную тару с ESD-защитой.</w:t>
      </w:r>
    </w:p>
    <w:p>
      <w:pPr>
        <w:spacing w:after="100"/>
      </w:pPr>
      <w:r>
        <w:rPr>
          <w:sz w:val="22"/>
          <w:szCs w:val="22"/>
        </w:rPr>
        <w:t xml:space="preserve">7.3. Хранение в заводской таре — не менее 1 года по ГОСТ 15150. Дополнительные незаданные условия консервации не устанавливаются.</w:t>
      </w:r>
    </w:p>
    <w:p>
      <w:pPr>
        <w:spacing w:after="100"/>
      </w:pPr>
      <w:r>
        <w:rPr>
          <w:sz w:val="22"/>
          <w:szCs w:val="22"/>
        </w:rPr>
        <w:t xml:space="preserve">Проверка: осмотр маркировки и тары, проверка ESD-защиты и документов, подтверждающих срок хранения не менее 1 года по ГОСТ 15150.</w:t>
      </w:r>
    </w:p>
    <w:p>
      <w:pPr>
        <w:spacing w:after="100"/>
      </w:pPr>
      <w:r>
        <w:rPr>
          <w:b/>
          <w:sz w:val="24"/>
          <w:szCs w:val="24"/>
        </w:rPr>
        <w:t xml:space="preserve">8 Специальные требования</w:t>
      </w:r>
    </w:p>
    <w:p>
      <w:pPr>
        <w:spacing w:after="100"/>
      </w:pPr>
      <w:r>
        <w:rPr>
          <w:sz w:val="22"/>
          <w:szCs w:val="22"/>
        </w:rPr>
        <w:t xml:space="preserve">8.1. Телеметрия РМО (C++/Qt) должна включать мнемосхему 8 портов, отображение LOS, LOF, AIS, RAI, счётчиков ITU-T G.826, профилей SAToP/CESoPSN и источника тактирования.</w:t>
      </w:r>
    </w:p>
    <w:p>
      <w:pPr>
        <w:spacing w:after="100"/>
      </w:pPr>
      <w:r>
        <w:rPr>
          <w:sz w:val="22"/>
          <w:szCs w:val="22"/>
        </w:rPr>
        <w:t xml:space="preserve">8.2. Должны быть реализованы команды включения и отключения портов, изменения джиттер-буфера, запуска диагностических петель и PRBS.</w:t>
      </w:r>
    </w:p>
    <w:p>
      <w:pPr>
        <w:spacing w:after="100"/>
      </w:pPr>
      <w:r>
        <w:rPr>
          <w:sz w:val="22"/>
          <w:szCs w:val="22"/>
        </w:rPr>
        <w:t xml:space="preserve">Проверка: демонстрация мнемосхемы, телеметрии и каждой команды на каждом из 8 портов; проверка отображения заданных состояний и счётчиков, изменения буфера, диагностических петель и PRBS.</w:t>
      </w:r>
    </w:p>
    <w:p>
      <w:r>
        <w:br w:type="page"/>
      </w:r>
    </w:p>
    <w:p>
      <w:pPr>
        <w:jc w:val="center"/>
        <w:spacing w:after="100"/>
      </w:pPr>
      <w:r>
        <w:rPr>
          <w:b/>
          <w:sz w:val="28"/>
          <w:szCs w:val="28"/>
        </w:rPr>
        <w:t xml:space="preserve">ПОСЛЕДНИЙ ЛИСТ ТЗ НА СОСТАВНУЮ ЧАСТЬ ОКР</w:t>
      </w:r>
    </w:p>
    <w:p>
      <w:pPr>
        <w:spacing w:after="100"/>
      </w:pPr>
      <w:r>
        <w:rPr>
          <w:sz w:val="22"/>
          <w:szCs w:val="22"/>
        </w:rPr>
        <w:t xml:space="preserve">Разработчик ТЗ на СЧ ОКР: ООО «тушканчик»</w:t>
      </w:r>
    </w:p>
    <w:p>
      <w:pPr>
        <w:spacing w:after="100"/>
      </w:pPr>
      <w:r>
        <w:rPr>
          <w:sz w:val="22"/>
          <w:szCs w:val="22"/>
        </w:rPr>
        <w:t xml:space="preserve">Должность: [уточнить] Подпись, инициалы, фамилия: [уточнить]</w:t>
      </w:r>
    </w:p>
    <w:p>
      <w:pPr>
        <w:spacing w:after="100"/>
      </w:pPr>
      <w:r>
        <w:rPr>
          <w:sz w:val="22"/>
          <w:szCs w:val="22"/>
        </w:rPr>
        <w:t xml:space="preserve">«___» __________ 20__ г.</w:t>
      </w:r>
    </w:p>
    <w:p>
      <w:pPr>
        <w:spacing w:after="100"/>
      </w:pPr>
      <w:r>
        <w:rPr>
          <w:b/>
          <w:sz w:val="24"/>
          <w:szCs w:val="24"/>
        </w:rPr>
        <w:t xml:space="preserve">СОГЛАСОВАНО</w:t>
      </w:r>
    </w:p>
    <w:p>
      <w:pPr>
        <w:spacing w:after="100"/>
      </w:pPr>
      <w:r>
        <w:rPr>
          <w:sz w:val="22"/>
          <w:szCs w:val="22"/>
        </w:rPr>
        <w:t xml:space="preserve">Заказчик (НИО заказчика): [уточнить]</w:t>
      </w:r>
    </w:p>
    <w:p>
      <w:pPr>
        <w:spacing w:after="100"/>
      </w:pPr>
      <w:r>
        <w:rPr>
          <w:sz w:val="22"/>
          <w:szCs w:val="22"/>
        </w:rPr>
        <w:t xml:space="preserve">Должность: [уточнить] Подпись, инициалы, фамилия: [уточнить]</w:t>
      </w:r>
    </w:p>
    <w:p>
      <w:pPr>
        <w:spacing w:after="100"/>
      </w:pPr>
      <w:r>
        <w:rPr>
          <w:sz w:val="22"/>
          <w:szCs w:val="22"/>
        </w:rPr>
        <w:t xml:space="preserve">«___» __________ 20__ г.</w:t>
      </w:r>
    </w:p>
    <w:p>
      <w:pPr>
        <w:spacing w:after="100"/>
      </w:pPr>
      <w:r>
        <w:rPr>
          <w:b/>
          <w:sz w:val="24"/>
          <w:szCs w:val="24"/>
        </w:rPr>
        <w:t xml:space="preserve">СОГЛАСОВАНО</w:t>
      </w:r>
    </w:p>
    <w:p>
      <w:pPr>
        <w:spacing w:after="100"/>
      </w:pPr>
      <w:r>
        <w:rPr>
          <w:sz w:val="22"/>
          <w:szCs w:val="22"/>
        </w:rPr>
        <w:t xml:space="preserve">Другие организации, согласующие ТЗ: [уточнить]</w:t>
      </w:r>
    </w:p>
    <w:p>
      <w:pPr>
        <w:spacing w:after="100"/>
      </w:pPr>
      <w:r>
        <w:rPr>
          <w:sz w:val="22"/>
          <w:szCs w:val="22"/>
        </w:rPr>
        <w:t xml:space="preserve">Должность: [уточнить] Подпись, инициалы, фамилия: [уточнить]</w:t>
      </w:r>
    </w:p>
    <w:p>
      <w:pPr>
        <w:spacing w:after="100"/>
      </w:pPr>
      <w:r>
        <w:rPr>
          <w:sz w:val="22"/>
          <w:szCs w:val="22"/>
        </w:rPr>
        <w:t xml:space="preserve">«___» __________ 20__ г.</w:t>
      </w:r>
    </w:p>
    <w:sectPr>
      <w:pgSz w:w="11906" w:h="16838"/>
      <w:pgMar w:top="1250" w:right="1020" w:bottom="1020" w:left="142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ru-RU"/>
      </w:rPr>
    </w:rPrDefault>
    <w:pPrDefault>
      <w:pPr>
        <w:spacing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