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СОГЛАСОВАНО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СОГЛАСОВАНО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УТВЕРЖДАЮ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Заказчик (НИО заказчика)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  <w:p>
            <w:pPr>
              <w:jc w:val="left"/>
              <w:spacing w:before="0" w:after="40" w:line="300" w:lineRule="auto"/>
            </w:pP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 / [уточнить]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«___» __________ 20__ г.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Исполнитель составной части ОКР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ООО «тушканчик»</w:t>
            </w:r>
          </w:p>
          <w:p>
            <w:pPr>
              <w:jc w:val="left"/>
              <w:spacing w:before="0" w:after="40" w:line="300" w:lineRule="auto"/>
            </w:pP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 / [уточнить]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«___» __________ 20__ г.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Головной исполнитель ОКР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  <w:p>
            <w:pPr>
              <w:jc w:val="left"/>
              <w:spacing w:before="0" w:after="40" w:line="300" w:lineRule="auto"/>
            </w:pP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 / [уточнить]</w:t>
            </w:r>
          </w:p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«___» __________ 20__ г.</w:t>
            </w:r>
          </w:p>
        </w:tc>
      </w:tr>
    </w:tbl>
    <w:p>
      <w:pPr>
        <w:jc w:val="both"/>
        <w:spacing w:before="1400" w:after="120" w:line="300" w:lineRule="auto"/>
      </w:pPr>
    </w:p>
    <w:p>
      <w:pPr>
        <w:jc w:val="center"/>
        <w:spacing w:before="500" w:after="180" w:line="300" w:lineRule="auto"/>
      </w:pPr>
      <w:r>
        <w:rPr>
          <w:rFonts w:ascii="Liberation Serif" w:hAnsi="Liberation Serif" w:cs="Liberation Serif"/>
          <w:sz w:val="32"/>
          <w:szCs w:val="32"/>
          <w:b/>
          <w:bCs/>
        </w:rPr>
        <w:t xml:space="preserve">ТЕХНИЧЕСКОЕ ЗАДАНИЕ</w:t>
      </w:r>
    </w:p>
    <w:p>
      <w:pPr>
        <w:jc w:val="center"/>
        <w:spacing w:before="500" w:after="180" w:line="300" w:lineRule="auto"/>
      </w:pPr>
      <w:r>
        <w:rPr>
          <w:rFonts w:ascii="Liberation Serif" w:hAnsi="Liberation Serif" w:cs="Liberation Serif"/>
          <w:sz w:val="28"/>
          <w:szCs w:val="28"/>
          <w:b/>
          <w:bCs/>
        </w:rPr>
        <w:t xml:space="preserve">НА СОСТАВНУЮ ЧАСТЬ ОПЫТНО-КОНСТРУКТОРСКОЙ РАБОТЫ</w:t>
      </w:r>
    </w:p>
    <w:p>
      <w:pPr>
        <w:jc w:val="center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«Разработка сменной интерфейсной субплаты 8×E1 и функционального модуля E1 для универсального базового модуля AMC семейства ДММП»</w:t>
      </w:r>
    </w:p>
    <w:p>
      <w:pPr>
        <w:jc w:val="center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Шифр ОКР «Развитие-ТСА»</w:t>
      </w:r>
    </w:p>
    <w:p>
      <w:pPr>
        <w:jc w:val="center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Обозначение составной части изделия: [уточнить]</w:t>
      </w:r>
    </w:p>
    <w:p>
      <w:pPr>
        <w:jc w:val="center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Регистрационный номер: [уточнить]</w:t>
      </w:r>
    </w:p>
    <w:p>
      <w:pPr>
        <w:jc w:val="right"/>
        <w:spacing w:before="0" w:after="120" w:line="300" w:lineRule="auto"/>
      </w:pPr>
      <w:r>
        <w:rPr>
          <w:rFonts w:ascii="Liberation Serif" w:hAnsi="Liberation Serif" w:cs="Liberation Serif"/>
          <w:sz w:val="20"/>
          <w:szCs w:val="20"/>
        </w:rPr>
        <w:t xml:space="preserve">Действует с дополнением: —</w:t>
      </w:r>
    </w:p>
    <w:p>
      <w:pPr>
        <w:pageBreakBefore/>
        <w:jc w:val="both"/>
        <w:spacing w:before="0" w:after="120" w:line="300" w:lineRule="auto"/>
      </w:pP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ЛИСТ СОГЛАСОВАНИЯ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Организация, должность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ФИО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Подпись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Дата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Заказчик (НИО заказчика):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Головной исполнитель ОКР: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Исполнитель составной части ОКР: ООО «тушканчик»; должность: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Другие согласующие организации (при наличии):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0"/>
          <w:szCs w:val="20"/>
        </w:rPr>
        <w:t xml:space="preserve">Примечание — Состав и реквизиты согласующих лиц подлежат уточнению уполномоченными участниками ОКР.</w:t>
      </w:r>
    </w:p>
    <w:p>
      <w:pPr>
        <w:pageBreakBefore/>
        <w:jc w:val="both"/>
        <w:spacing w:before="0" w:after="120" w:line="300" w:lineRule="auto"/>
      </w:pP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ПЕРЕЧЕНЬ ОБОЗНАЧЕНИЙ И СОКРАЩЕНИЙ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Обозначение / сокращение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Значение в настоящем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10GbE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обозначение интерфейса Fabric, приведённое в исходных требованиях;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ACR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режим восстановления тактирования от пакетной сети;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AIS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аварийный сигнал «все единицы»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AMC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универсальный базовый модуль семейства ДММП; изделие выполняется в конструктиве Single Full-size AMC.0;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AMI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тип линейного кодирования;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АСУ ТП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область применения, указанная в исходных требованиях;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B2B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межплатный интерфейс между субплатой и базовой платой;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BER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показатель, используемый при тестах с PRBS;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Board 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идентификатор платы, хранимый в EEPROM и используемый для автоматического выбора bitstream E1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CAS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режим сигнализации с использованием TS16;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CCS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режим сигнализации;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CESoPSN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профиль Б пакетной передачи структурированного потока по RFC 5086;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CRC-4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контроль, применяемый в кадровом режиме G.704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E1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цифровая линия со скоростью 2048 кбит/с (2,048 Мбит/с)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EEPROM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память Board ID;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ES, SES, UAS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показатели статистики G.826; расшифровки в исходных данных не приведены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ESD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вид воздействия, от которого предусматривается супрессорная защита, и вид защиты индивидуальной тары;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HDB3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тип линейного кодирования и контролируемых нарушений;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LIU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восьмиканальный узел линейных интерфейсов;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LOF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контролируемая авария потери кадра в кадровом режиме;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LOS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контролируемая авария потери сигнала;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MIB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программное обеспечение для РМО / SNMP;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MMC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функция, предоставляемая базовой платой через B2B;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MTBF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показатель надёжности со значением не менее 15 000 ч;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PDH, SDH, TDM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технологии области применения; расшифровки в исходных данных не приведены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PDV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изменение задержки пакетов, компенсируемое джиттер-буфером;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PRBS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испытательная псевдослучайная последовательность 2^15−1 или 2^23−1;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QoS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механизм обслуживания Strict Priority;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RAI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контролируемая удалённая аварийная индикация;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RJ-48C (8P8C)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тип восьми экранированных разъёмов линий E1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SAToP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профиль А пакетной передачи полного неструктурированного потока по RFC 4553;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SNMP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интерфейс использования MIB для РМО;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TCLK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системный источник тактирования передатчика;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TS1–TS31; TS16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временные интервалы профиля Б; расшифровка TS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КИМП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комплектующие изделия межотраслевого применения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ОКР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опытно-конструкторская работа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ОТК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приёмка применяемых материалов и комплектующих;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ПЛИС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программируемая логика базовой платы, в которой реализуется функциональный модуль; официальная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ПМИ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документ, упомянутый в требованиях к раскрытию терминов; расшифровка и требования к нему в исходных данных не приведены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РКД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рабочая конструкторская документация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РМО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средство телеметрии и управления на C++/Qt; расшифровка в исходных данных не приведена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составная часть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техническое задание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ЭКБ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комплектующие, для которых допускается импортное исполнение промышленного температурного диапазона; расшифровка в исходных данных не приведена</w:t>
            </w:r>
          </w:p>
        </w:tc>
      </w:tr>
    </w:tbl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0"/>
          <w:szCs w:val="20"/>
        </w:rPr>
        <w:t xml:space="preserve">Примечание — Официальные расширения сокращений, прямо не приведённые в исходных данных, подлежат уточнению до утверждения ТЗ; приведённое функциональное значение не заменяет отсутствующую расшифровку.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ПЕРЕЧЕНЬ ПРИМЕНИМЫХ НОРМАТИВНЫХ И СПРАВОЧНЫХ ДОКУМЕНТОВ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№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Обозначение документа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Применение в настоящем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ITU-T G.703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ITU-T G.704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ITU-T G.823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ITU-T G.826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RFC 4553 (SAToP)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RFC 5086 (CESoPSN)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PICMG AMC.0 R2.0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РВ 20.39.304-98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В 25803-91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2.114-2016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РВ 15.201-2003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15150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ГОСТ 15.016-2016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 применимой части согласно требованиям соответствующих пунктов настоящего ТЗ</w:t>
            </w:r>
          </w:p>
        </w:tc>
      </w:tr>
    </w:tbl>
    <w:p>
      <w:pPr>
        <w:pageBreakBefore/>
        <w:jc w:val="both"/>
        <w:spacing w:before="0" w:after="120" w:line="300" w:lineRule="auto"/>
      </w:pP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1 Наименование, шифр, основание, исполнители и сроки ОКР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1.1 Наименование составной части ОКР —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1.2 Шифр ОКР — «Развитие-ТСА».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1.3 Основание выполнения — приказ об открытии инициативной ОКР № [уточнить] от [уточнить]. Номер и дата приказа должны быть установлены разработчиком до утверждения ТЗ.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1.4 Исполнитель составной части ОКР — ООО «тушканчик» (условное наименование из исходных данных). Головной исполнитель ОКР и заказчик (НИО заказчика) — [уточнить].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1.5 Сроки выполнения работ должны соответствовать утверждённому плану-графику разработки РКД и программной документации, изготовления образцов и проведения испытаний. Календарные даты и реквизиты плана-графика — [уточнить]; без этих сведений календарная проверка выполнения требования не определена.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2 Цель выполнения, наименование, назначение и область применения изделия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2.1 Целью выполнения составной части ОКР является создание сменной интерфейсной субплаты 8×E1 и функционального модуля E1, обеспечивающих подключение восьми независимых линий E1 к платформе ДММП, передачу TDM через Ethernet, компенсацию сетевого джиттера и восстановление частоты.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2.2 Изделие предназначено для установки AMC на Carrier платформы ДММП и применения в системах TDM/SDH/PDH, телефонных станциях, системах диспетчеризации и АСУ ТП энергетических и промышленных предприятий.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2.3 Аппаратная часть изделия должна включать субплату, линейные интерфейсы, защиту, трансиверы и EEPROM Board ID. Логическая часть должна быть реализована как функциональный модуль ПЛИС базовой платы и автоматически активироваться по Board ID.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3 Технические требования к изделию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3.1 Архитектура и линии E1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Идентификатор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Субплата должна иметь восемь экранированных разъёмов RJ-48C (8P8C), защиту, импульсные трансформаторы, восьмиканальный LIU, EEPROM Board ID и индикацию портов.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Числовое значение Board ID — [уточнить]. Значение должно быть установлено головным исполнителем ОКР до фиксации bitstream в Flash; до этого автоматический выбор bitstream E1 не может быть полностью проверен.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Через B2B базовая плата должна предоставлять субплате +12 В и +3,3 В, MMC и тактирование, а также выбирать bitstream E1 из Flash по Board ID.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Каждый из восьми портов должен иметь симметричный двухпарный интерфейс 120 Ом со скоростью 2048 кбит/с (2,048 Мбит/с) ±50 ppm и поддерживать HDB3 или AMI; импульс должен соответствовать маске ITU-T G.703.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Трансформаторная изоляция каждого порта должна выдерживать не менее 1500 В RMS, 50 Гц, в течение 1 мин.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Каждый порт должен иметь супрессорную защиту от перенапряжений и ESD.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Короткое замыкание, обрыв или перепутывание пар одного порта не должны влиять на другие порты и модуль.</w:t>
            </w:r>
          </w:p>
        </w:tc>
      </w:tr>
    </w:tbl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3.2 Обработка, тактирование и аварии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Идентификатор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Для каждого порта независимо должен поддерживаться профиль А SAToP по RFC 4553: полный неструктурированный поток с настраиваемой полезной нагрузкой и минимальной аппаратной задержкой.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Для каждого порта независимо должен поддерживаться профиль Б CESoPSN по RFC 5086: N×64 кбит/с, TS1–TS31, G.704, CRC-4, CAS (TS16) и CCS.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Передача должна выполняться через Fabric 10GbE с Strict Priority QoS без потерь и с минимальной задержкой коммутации.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Джиттер-буфер каждого канала должен настраиваться в пределах от 1 до 64 мс для компенсации PDV.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При потере пакетов или аварии сети изделие должно выдавать AIS («все единицы»), сохраняя тактирование.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Передатчик должен поддерживать режимы системного TCLK, ACR от пакетной сети, Free-run/Holdover и Loop timing.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Восстановленные 2,048 МГц любого выбранного входного порта должны передаваться через B2B как кандидат синхронизации шасси.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Характеристики джиттера и вандера должны соответствовать ITU-T G.823.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Изделие должно непрерывно и раздельно по портам контролировать LOS, LOF в кадровом режиме, AIS, RAI, CRC-4, нарушения HDB3 и Frame slips.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 каждому порту должна вестись статистика G.826: ES, SES и UAS.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Для каждого порта должны поддерживаться Local Line Loopback, Payload Loopback и Packet Loopback.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Для каждого порта должны быть предусмотрены встроенные генератор и анализатор PRBS 2^15−1 и 2^23−1 для BER-тестов.</w:t>
            </w:r>
          </w:p>
        </w:tc>
      </w:tr>
    </w:tbl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3.3 Конструкция и эксплуатация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Идентификатор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Требование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Субплата должна крепиться к общему лонжерону-теплоотводу и лицевой панели.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Размещение разъёмов должно сохранять доступ к защёлкам, обзор светодиодов и вентиляцию.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При всех активных портах потребляемая мощность субплаты должна быть не более 12 Вт, сборки — не более 35 Вт.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Конструкция должна соответствовать Single Full-size AMC.0 и иметь габаритные размеры 73,5 × 180,6 × 28,95 мм.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Межплатное крепление должно выполняться на 4–6 металлических стойках М2,5.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Стойкость должна соответствовать ГОСТ РВ 20.39.304-98, группам 1.1, 1.3, 1.4.1, исполнению «О».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Рабочая температура должна составлять от −10 до +50 °C; предельная температура — от −40 до +65 °C.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Изделие должно выдерживать синусоидальную вибрацию 5g и удары 15g.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Требования по радиопомехам должны соответствовать группе 1.1.1 ГОСТ В 25803-91.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MTBF должен быть не менее 15 000 ч.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Назначенный срок службы должен быть не менее 20 лет.</w:t>
            </w:r>
          </w:p>
        </w:tc>
      </w:tr>
    </w:tbl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3.4 Проверка технических требований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Код проверки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Требования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Метод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Условия и критерий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ТР-3.1.1–ТР-3.1.3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Осмотр и функциональное 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Проверить состав субплаты, восемь портов, B2B-питание +12 В/+3,3 В, MMC, тактирование и выбор bitstream по установленному Board ID. Полная проверка выбора bitstream заблокирована до задания числового Board ID.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Измерение и 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Для каждого порта проверить двухпарный интерфейс 120 Ом, скорость 2048 кбит/с (2,048 Мбит/с) ±50 ppm, HDB3 и AMI и маску импульса по G.703. Допустимая погрешность средств измерений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ТР-3.1.5–ТР-3.1.6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Подать 1500 В RMS, 50 Гц, на 1 мин и подтвердить сохранение изоляции; наличие и действие защиты от перенапряжений и ESD проверить по методике с параметрами воздействия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ТР-3.1.7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Поочерёдно создать КЗ, обрыв и перепутывание пар одного порта; остальные порты и модуль должны продолжать работу без влияния от созданного состояния.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ТР-3.2.1–ТР-3.2.4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Независимо на каждом порту проверить оба профиля, все заявленные режимы профиля Б, Strict Priority QoS и настройку джиттер-буфера на границах 1 и 64 мс. Численное значение допустимой потери и задержки сверх формулировки «без потерь» и «минимальная» в исходных данных отсутствует; измерительная процедура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 отказа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Инициировать потерю пакетов и отдельно аварию сети; на выходе должен формироваться AIS («все единицы») при сохранении тактирования.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ТР-3.2.6–ТР-3.2.8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 и измерение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Последовательно включить системный TCLK, ACR, Free-run/Holdover и Loop timing; для каждого выбранного входного порта подтвердить передачу восстановленных 2,048 МГц через B2B. Джиттер и вандер проверить по G.823; конкретная процедура и погрешность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ТР-3.2.9–ТР-3.2.10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Последовательно сформировать LOS, LOF в кадровом режиме, AIS, RAI, ошибку CRC-4, нарушение HDB3 и Frame slip; подтвердить непрерывную регистрацию по нужному порту и ведение ES, SES, UAS по G.826.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ТР-3.2.11–ТР-3.2.12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На каждом порту включить три вида петли и провести BER-тесты встроенными генератором и анализатором для PRBS 2^15−1 и 2^23−1. Допустимый BER и длительность теста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ТР-3.3.1–ТР-3.3.5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Осмотр и измерение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Проверить крепление, доступ к защёлкам, обзор светодиодов, вентиляцию, конструктив Single Full-size AMC.0, размеры 73,5 × 180,6 × 28,95 мм и 4–6 металлических стоек М2,5.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Измерение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При всех активных портах измерить мощность: субплата — не более 12 Вт; сборка — не более 35 Вт. Погрешность средства измерений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ТР-3.3.6–ТР-3.3.9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Провести проверки применимых групп 1.1, 1.3, 1.4.1 исполнения «О», при рабочей температуре −10…+50 °C и предельной −40…+65 °C, синусоидальной вибрации 5g, ударах 15g и по радиопомехам группы 1.1.1. Режимы и критерии — по указанным нормативным документам; недостающие параметры конкретной методики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ПР-3.13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ТР-3.3.10–ТР-3.3.11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Анализ и испытание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Подтвердить MTBF не менее 15 000 ч и назначенный срок службы не менее 20 лет. Метод оценки, объём выборки и совмещение испытаний — [уточнить в ПМИ].</w:t>
            </w:r>
          </w:p>
        </w:tc>
      </w:tr>
    </w:tbl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4 Технико-экономические требования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4.1 Технико-экономические требования к составной части ОКР не предъявляются.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5 Требования к видам обеспечения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5.1 Нормативно-техническое обеспечение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ТР-5.1.1 Разработка изделия, РКД, программной документации и проверок должна выполняться с применением документов, перечисленных в разделе «Перечень применимых нормативных и справочных документов», в пределах требований настоящего ТЗ.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5.2 Метрологическое обеспечение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ТР-5.2.1 Должны быть предусмотрены средства и методики измерения маски импульса E1, джиттера и вандера, BER и задержки пакетизации. Не заданные исходными данными допуски не устанавливаются; точность средств, режимы и недостающие критерии должны быть определены в ПМИ без изменения подтверждённых критериев настоящего ТЗ.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5.3 Диагностическое обеспечение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ТР-5.3.1 Должны обеспечиваться регистрация LOS, LOF, AIS и RAI, регистрация счётчиков ошибок, формирование сообщений и отчётов для РМО.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5.4 Программное обеспечение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ТР-5.4.1 Должны быть разработаны bitstream функционального модуля E1 для Flash базовой платы, драйверы Linux и MIB для РМО / SNMP.</w:t>
      </w:r>
    </w:p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5.5 Проверка требований к видам обеспечения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Код проверки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Требования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Метод и критерий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ПР-5.1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ТР-5.1.1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Анализ документации: применимые нормативные документы должны быть учтены в РКД, программной документации и ПМИ без добавления неподтверждённых норм.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ПР-5.2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ТР-5.2.1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Анализ и демонстрация измерений: должны быть представлены средства и методики для маски импульса E1, джиттера/вандера, BER и задержки пакетизации. Конкретные незаданные точности и допуски — [уточнить в ПМИ].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ПР-5.3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ТР-5.3.1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Функциональное испытание: создать LOS/LOF/AIS/RAI и ошибки, подтвердить регистрацию, счётчики, сообщения и отчёты РМО.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ПР-5.4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ТР-5.4.1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Осмотр состава и функциональное испытание: наличие bitstream во Flash, драйверов Linux и MIB; проверка взаимодействия РМО / SNMP.</w:t>
            </w:r>
          </w:p>
        </w:tc>
      </w:tr>
    </w:tbl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6 Требования к сырью, материалам и комплектующим изделиям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ТР-6.1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Проверка ТР-6.1 и ТР-6.2 — анализ перечней элементов, спецификаций и документов приёмки ОТК. Для импортной ЭКБ должны быть подтверждены отсутствие отечественного аналога и промышленный температурный диапазон; форма подтверждения отсутствия аналога — [уточнить].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7 Требования к консервации, упаковке и маркировке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ТР-7.1 На изделие должны наноситься децимальный номер, серийный номер, ревизия и маркировка портов E1-1…E1-8.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ТР-7.2 Изделие должно упаковываться в индивидуальную тару с ESD-защитой.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ТР-7.3 Хранение изделия в заводской таре должно обеспечиваться в течение не менее 1 года по ГОСТ 15150.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ТР-7.4 Условия и способы консервации — [уточнить]; исходные данные не позволяют установить их без введения нового параметра.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Проверка ТР-7.1–ТР-7.3 — осмотр изделия и упаковки и анализ документации: наличие всех обозначений и ESD-защиты, подтверждение хранения не менее 1 года по ГОСТ 15150. Проверка ТР-7.4 заблокирована до задания условий и способов консервации.</w:t>
      </w:r>
    </w:p>
    <w:p>
      <w:pPr>
        <w:jc w:val="center"/>
        <w:spacing w:before="300" w:after="180" w:line="300" w:lineRule="auto"/>
      </w:pPr>
      <w:r>
        <w:rPr>
          <w:rFonts w:ascii="Liberation Serif" w:hAnsi="Liberation Serif" w:cs="Liberation Serif"/>
          <w:sz w:val="30"/>
          <w:szCs w:val="30"/>
          <w:b/>
          <w:bCs/>
        </w:rPr>
        <w:t xml:space="preserve">8 Специальные требования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ТР-8.1 РМО на C++/Qt должно отображать мнемосхему восьми портов, состояния LOS, LOF, AIS и RAI, счётчики G.826, выбранный профиль SAToP или CESoPSN и источник тактирования.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ТР-8.2 РМО должно обеспечивать команды включения и отключения портов, изменения джиттер-буфера, включения диагностических петель и PRBS.</w:t>
      </w:r>
    </w:p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ПР-8.1 Проверить РМО осмотром и функциональным испытанием: для каждого из восьми портов должны отображаться перечисленные состояния и параметры; каждая команда по ТР-8.2 должна вызывать соответствующее изменение состояния порта, настройки джиттер-буфера, петли или PRBS.</w:t>
      </w:r>
    </w:p>
    <w:p>
      <w:pPr>
        <w:pageBreakBefore/>
        <w:jc w:val="both"/>
        <w:spacing w:before="0" w:after="120" w:line="300" w:lineRule="auto"/>
      </w:pPr>
    </w:p>
    <w:p>
      <w:pPr>
        <w:jc w:val="center"/>
        <w:spacing w:before="0" w:after="120" w:line="300" w:lineRule="auto"/>
      </w:pPr>
      <w:r>
        <w:rPr>
          <w:rFonts w:ascii="Liberation Serif" w:hAnsi="Liberation Serif" w:cs="Liberation Serif"/>
          <w:sz w:val="24"/>
          <w:szCs w:val="24"/>
        </w:rPr>
        <w:t xml:space="preserve">Техническое задание разработал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Должность, организация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Подпись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Инициалы, фамилия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Дата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[уточнить], ООО «тушканчик»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left"/>
        <w:spacing w:before="240" w:after="140" w:line="300" w:lineRule="auto"/>
      </w:pPr>
      <w:r>
        <w:rPr>
          <w:rFonts w:ascii="Liberation Serif" w:hAnsi="Liberation Serif" w:cs="Liberation Serif"/>
          <w:sz w:val="26"/>
          <w:szCs w:val="26"/>
          <w:b/>
          <w:bCs/>
        </w:rPr>
        <w:t xml:space="preserve">СОГЛАСОВАНО</w:t>
      </w:r>
    </w:p>
    <w:tbl>
      <w:tblPr>
        <w:tblW w:w="0" w:type="auto"/>
        <w:tblLayout w:type="autofi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Организация, должность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Подпись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Инициалы, фамилия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center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  <w:bCs/>
              </w:rPr>
              <w:t xml:space="preserve">Дата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Головной исполнитель ОКР: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Другие согласующие организации: 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jc w:val="left"/>
              <w:spacing w:before="0" w:after="40" w:line="30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[уточнить]</w:t>
            </w:r>
          </w:p>
        </w:tc>
      </w:tr>
    </w:tbl>
    <w:p>
      <w:pPr>
        <w:jc w:val="both"/>
        <w:spacing w:before="0" w:after="120" w:line="300" w:lineRule="auto"/>
      </w:pPr>
      <w:r>
        <w:rPr>
          <w:rFonts w:ascii="Liberation Serif" w:hAnsi="Liberation Serif" w:cs="Liberation Serif"/>
          <w:sz w:val="20"/>
          <w:szCs w:val="20"/>
        </w:rPr>
        <w:t xml:space="preserve">Примечание — ФИО, должности, подписи и даты не установлены исходными данными и подлежат заполнению уполномоченными лицами.</w:t>
      </w:r>
    </w:p>
    <w:sectPr>
      <w:headerReference w:type="default" r:id="rId1"/>
      <w:pgSz w:w="11906" w:h="16838"/>
      <w:pgMar w:top="1134" w:right="850" w:bottom="1134" w:left="1417" w:header="450" w:footer="45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widowControl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составную часть ОКР «Развитие-ТСА»</dc:title>
  <dc:creator>ООО «тушканчик»</dc:creator>
  <dcterms:created xsi:type="dcterms:W3CDTF">2026-10-04T14:06:52Z</dcterms:created>
</cp:coreProperties>
</file>