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3000" w:type="dxa"/>
          </w:tcPr>
          <w:p>
            <w:r>
              <w:rPr>
                <w:b/>
              </w:rPr>
              <w:t xml:space="preserve">СОГЛАСОВАНО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Заказчик (НИО заказчика)</w:t>
            </w:r>
          </w:p>
          <w:p>
            <w:r>
              <w:br/>
            </w:r>
          </w:p>
          <w:p>
            <w:r>
              <w:t xml:space="preserve">[уточнить]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Подпись __________ / [уточнить] /</w:t>
            </w:r>
          </w:p>
          <w:p>
            <w:r>
              <w:br/>
            </w:r>
          </w:p>
          <w:p>
            <w:r>
              <w:t xml:space="preserve">«___» __________ 20__ г.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СОГЛАСОВАНО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Исполнитель составной части ОКР</w:t>
            </w:r>
          </w:p>
          <w:p>
            <w:r>
              <w:br/>
            </w:r>
          </w:p>
          <w:p>
            <w:r>
              <w:t xml:space="preserve">ООО «тушканчик»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Подпись __________ / [уточнить] /</w:t>
            </w:r>
          </w:p>
          <w:p>
            <w:r>
              <w:br/>
            </w:r>
          </w:p>
          <w:p>
            <w:r>
              <w:t xml:space="preserve">«___» __________ 20__ г.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УТВЕРЖДАЮ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Головной исполнитель ОКР</w:t>
            </w:r>
          </w:p>
          <w:p>
            <w:r>
              <w:br/>
            </w:r>
          </w:p>
          <w:p>
            <w:r>
              <w:t xml:space="preserve">[уточнить]</w:t>
            </w:r>
          </w:p>
          <w:p>
            <w:r>
              <w:br/>
            </w:r>
          </w:p>
          <w:p>
            <w:r>
              <w:br/>
            </w:r>
          </w:p>
          <w:p>
            <w:r>
              <w:t xml:space="preserve">Подпись __________ / [уточнить] /</w:t>
            </w:r>
          </w:p>
          <w:p>
            <w:r>
              <w:br/>
            </w:r>
          </w:p>
          <w:p>
            <w:r>
              <w:t xml:space="preserve">«___» __________ 20__ г.</w:t>
            </w:r>
          </w:p>
        </w:tc>
      </w:tr>
    </w:tbl>
    <w:p>
      <w:r>
        <w:rPr>
          <w:b/>
        </w:rPr>
        <w:t xml:space="preserve">ТЕХНИЧЕСКОЕ ЗАДАНИЕ</w:t>
      </w:r>
      <w:r>
        <w:br/>
      </w:r>
      <w:r>
        <w:rPr>
          <w:b/>
        </w:rPr>
        <w:t xml:space="preserve">НА СОСТАВНУЮ ЧАСТЬ ОПЫТНО-КОНСТРУКТОРСКОЙ РАБОТЫ</w:t>
      </w:r>
    </w:p>
    <w:p>
      <w:r>
        <w:rPr>
          <w:b/>
        </w:rPr>
        <w:t xml:space="preserve">Разработка сменной интерфейсной субплаты 8×E1</w:t>
      </w:r>
      <w:r>
        <w:br/>
      </w:r>
      <w:r>
        <w:rPr>
          <w:b/>
        </w:rPr>
        <w:t xml:space="preserve">и функционального модуля E1 для универсального базового модуля AMC семейства ДММП</w:t>
      </w:r>
    </w:p>
    <w:p>
      <w:r>
        <w:t xml:space="preserve">Шифр ОКР: «Развитие-ТСА»</w:t>
      </w:r>
    </w:p>
    <w:p>
      <w:r>
        <w:t xml:space="preserve">Обозначение составной части изделия: [уточнить]</w:t>
      </w:r>
    </w:p>
    <w:p>
      <w:r>
        <w:t xml:space="preserve">[место составления: уточнить]</w:t>
      </w:r>
      <w:r>
        <w:br/>
      </w:r>
      <w:r>
        <w:t xml:space="preserve">20__ г.</w:t>
      </w:r>
    </w:p>
    <w:p>
      <w:r>
        <w:br w:type="page"/>
      </w:r>
    </w:p>
    <w:p>
      <w:pPr>
        <w:pStyle w:val="Heading1"/>
      </w:pPr>
      <w:r>
        <w:t xml:space="preserve">ЛИСТ СОГЛАСОВАНИЯ</w:t>
      </w:r>
    </w:p>
    <w:p>
      <w:r>
        <w:t xml:space="preserve">к техническому заданию на составную часть опытно-конструкторской работы «Разработка сменной интерфейсной субплаты 8×E1 и функционального модуля E1 для универсального базового модуля AMC семейства ДММП», шифр ОКР «Развитие-ТСА».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shd w:fill="E7E6E6"/>
            <w:tcW w:w="3000" w:type="dxa"/>
          </w:tcPr>
          <w:p>
            <w:r>
              <w:t xml:space="preserve">Организация (роль)</w:t>
            </w:r>
          </w:p>
        </w:tc>
        <w:tc>
          <w:tcPr>
            <w:shd w:fill="E7E6E6"/>
            <w:tcW w:w="3000" w:type="dxa"/>
          </w:tcPr>
          <w:p>
            <w:r>
              <w:t xml:space="preserve">Должность, ФИО</w:t>
            </w:r>
          </w:p>
        </w:tc>
        <w:tc>
          <w:tcPr>
            <w:shd w:fill="E7E6E6"/>
            <w:tcW w:w="3000" w:type="dxa"/>
          </w:tcPr>
          <w:p>
            <w:r>
              <w:t xml:space="preserve">Подпись</w:t>
            </w:r>
          </w:p>
        </w:tc>
        <w:tc>
          <w:tcPr>
            <w:shd w:fill="E7E6E6"/>
            <w:tcW w:w="3000" w:type="dxa"/>
          </w:tcPr>
          <w:p>
            <w:r>
              <w:t xml:space="preserve">Дата</w:t>
            </w:r>
          </w:p>
        </w:tc>
      </w:tr>
      <w:tr>
        <w:tc>
          <w:tcPr>
            <w:tcW w:w="3000" w:type="dxa"/>
          </w:tcPr>
          <w:p>
            <w:r>
              <w:t xml:space="preserve">Заказчик (НИО заказчика)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</w:t>
            </w:r>
          </w:p>
        </w:tc>
        <w:tc>
          <w:tcPr>
            <w:tcW w:w="3000" w:type="dxa"/>
          </w:tcPr>
          <w:p>
            <w:r>
              <w:t xml:space="preserve">«___» ________ 20__ г.</w:t>
            </w:r>
          </w:p>
        </w:tc>
      </w:tr>
      <w:tr>
        <w:tc>
          <w:tcPr>
            <w:tcW w:w="3000" w:type="dxa"/>
          </w:tcPr>
          <w:p>
            <w:r>
              <w:t xml:space="preserve">Исполнитель составной части ОКР — ООО «тушканчик»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</w:t>
            </w:r>
          </w:p>
        </w:tc>
        <w:tc>
          <w:tcPr>
            <w:tcW w:w="3000" w:type="dxa"/>
          </w:tcPr>
          <w:p>
            <w:r>
              <w:t xml:space="preserve">«___» ________ 20__ г.</w:t>
            </w:r>
          </w:p>
        </w:tc>
      </w:tr>
      <w:tr>
        <w:tc>
          <w:tcPr>
            <w:tcW w:w="3000" w:type="dxa"/>
          </w:tcPr>
          <w:p>
            <w:r>
              <w:t xml:space="preserve">Головной исполнитель ОКР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</w:t>
            </w:r>
          </w:p>
        </w:tc>
        <w:tc>
          <w:tcPr>
            <w:tcW w:w="3000" w:type="dxa"/>
          </w:tcPr>
          <w:p>
            <w:r>
              <w:t xml:space="preserve">«___» ________ 20__ г.</w:t>
            </w:r>
          </w:p>
        </w:tc>
      </w:tr>
    </w:tbl>
    <w:p>
      <w:r>
        <w:t xml:space="preserve">Примечание — состав согласующих организаций определяется в установленном порядке. Настоящий лист содержит незаданные реквизиты как поля для заполнения и не подтверждает согласование.</w:t>
      </w:r>
    </w:p>
    <w:p>
      <w:r>
        <w:br w:type="page"/>
      </w:r>
    </w:p>
    <w:p>
      <w:pPr>
        <w:pStyle w:val="Heading1"/>
      </w:pPr>
      <w:r>
        <w:t xml:space="preserve">ПЕРЕЧЕНЬ ОБОЗНАЧЕНИЙ, ТЕРМИНОВ И СОКРАЩЕНИЙ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shd w:fill="E7E6E6"/>
            <w:tcW w:w="3000" w:type="dxa"/>
          </w:tcPr>
          <w:p>
            <w:r>
              <w:t xml:space="preserve">Обозначение</w:t>
            </w:r>
          </w:p>
        </w:tc>
        <w:tc>
          <w:tcPr>
            <w:shd w:fill="E7E6E6"/>
            <w:tcW w:w="3000" w:type="dxa"/>
          </w:tcPr>
          <w:p>
            <w:r>
              <w:t xml:space="preserve">Значение в настоящем ТЗ</w:t>
            </w:r>
          </w:p>
        </w:tc>
      </w:tr>
      <w:tr>
        <w:tc>
          <w:tcPr>
            <w:tcW w:w="3000" w:type="dxa"/>
          </w:tcPr>
          <w:p>
            <w:r>
              <w:t xml:space="preserve">AMC</w:t>
            </w:r>
          </w:p>
        </w:tc>
        <w:tc>
          <w:tcPr>
            <w:tcW w:w="3000" w:type="dxa"/>
          </w:tcPr>
          <w:p>
            <w:r>
              <w:t xml:space="preserve">модуль форм-фактора AMC.0, устанавливаемый на Carrier платформы ДММП.</w:t>
            </w:r>
          </w:p>
        </w:tc>
      </w:tr>
      <w:tr>
        <w:tc>
          <w:tcPr>
            <w:tcW w:w="3000" w:type="dxa"/>
          </w:tcPr>
          <w:p>
            <w:r>
              <w:t xml:space="preserve">ПЛИС</w:t>
            </w:r>
          </w:p>
        </w:tc>
        <w:tc>
          <w:tcPr>
            <w:tcW w:w="3000" w:type="dxa"/>
          </w:tcPr>
          <w:p>
            <w:r>
              <w:t xml:space="preserve">программируемая логическая интегральная схема; в настоящем ТЗ — базовая плата с функциональным модулем E1.</w:t>
            </w:r>
          </w:p>
        </w:tc>
      </w:tr>
      <w:tr>
        <w:tc>
          <w:tcPr>
            <w:tcW w:w="3000" w:type="dxa"/>
          </w:tcPr>
          <w:p>
            <w:r>
              <w:t xml:space="preserve">B2B</w:t>
            </w:r>
          </w:p>
        </w:tc>
        <w:tc>
          <w:tcPr>
            <w:tcW w:w="3000" w:type="dxa"/>
          </w:tcPr>
          <w:p>
            <w:r>
              <w:t xml:space="preserve">межплатное соединение субплаты и базовой платы, через которое предоставляются питание, MMC, тактирование и кандидат синхронизации шасси.</w:t>
            </w:r>
          </w:p>
        </w:tc>
      </w:tr>
      <w:tr>
        <w:tc>
          <w:tcPr>
            <w:tcW w:w="3000" w:type="dxa"/>
          </w:tcPr>
          <w:p>
            <w:r>
              <w:t xml:space="preserve">Board ID</w:t>
            </w:r>
          </w:p>
        </w:tc>
        <w:tc>
          <w:tcPr>
            <w:tcW w:w="3000" w:type="dxa"/>
          </w:tcPr>
          <w:p>
            <w:r>
              <w:t xml:space="preserve">идентификатор платы в EEPROM, по которому базовая плата выбирает bitstream E1 из Flash. Числовое значение: </w:t>
            </w:r>
          </w:p>
          <w:p>
            <w:r>
              <w:t xml:space="preserve">[уточнить]</w:t>
            </w:r>
          </w:p>
          <w:p>
            <w:r>
              <w:t xml:space="preserve">.</w:t>
            </w:r>
          </w:p>
        </w:tc>
      </w:tr>
      <w:tr>
        <w:tc>
          <w:tcPr>
            <w:tcW w:w="3000" w:type="dxa"/>
          </w:tcPr>
          <w:p>
            <w:r>
              <w:t xml:space="preserve">MMC</w:t>
            </w:r>
          </w:p>
        </w:tc>
        <w:tc>
          <w:tcPr>
            <w:tcW w:w="3000" w:type="dxa"/>
          </w:tcPr>
          <w:p>
            <w:r>
              <w:t xml:space="preserve">интерфейс, предоставляемый базовой платой через B2B.</w:t>
            </w:r>
          </w:p>
        </w:tc>
      </w:tr>
      <w:tr>
        <w:tc>
          <w:tcPr>
            <w:tcW w:w="3000" w:type="dxa"/>
          </w:tcPr>
          <w:p>
            <w:r>
              <w:t xml:space="preserve">РМО</w:t>
            </w:r>
          </w:p>
        </w:tc>
        <w:tc>
          <w:tcPr>
            <w:tcW w:w="3000" w:type="dxa"/>
          </w:tcPr>
          <w:p>
            <w:r>
              <w:t xml:space="preserve">средство, для которого предусматриваются сообщения, отчёты, MIB и SNMP; полное наименование в исходных данных не задано.</w:t>
            </w:r>
          </w:p>
        </w:tc>
      </w:tr>
      <w:tr>
        <w:tc>
          <w:tcPr>
            <w:tcW w:w="3000" w:type="dxa"/>
          </w:tcPr>
          <w:p>
            <w:r>
              <w:t xml:space="preserve">ОКР</w:t>
            </w:r>
          </w:p>
        </w:tc>
        <w:tc>
          <w:tcPr>
            <w:tcW w:w="3000" w:type="dxa"/>
          </w:tcPr>
          <w:p>
            <w:r>
              <w:t xml:space="preserve">опытно-конструкторская работа.</w:t>
            </w:r>
          </w:p>
        </w:tc>
      </w:tr>
      <w:tr>
        <w:tc>
          <w:tcPr>
            <w:tcW w:w="3000" w:type="dxa"/>
          </w:tcPr>
          <w:p>
            <w:r>
              <w:t xml:space="preserve">РКД</w:t>
            </w:r>
          </w:p>
        </w:tc>
        <w:tc>
          <w:tcPr>
            <w:tcW w:w="3000" w:type="dxa"/>
          </w:tcPr>
          <w:p>
            <w:r>
              <w:t xml:space="preserve">рабочая конструкторская документация.</w:t>
            </w:r>
          </w:p>
        </w:tc>
      </w:tr>
      <w:tr>
        <w:tc>
          <w:tcPr>
            <w:tcW w:w="3000" w:type="dxa"/>
          </w:tcPr>
          <w:p>
            <w:r>
              <w:t xml:space="preserve">ПМИ</w:t>
            </w:r>
          </w:p>
        </w:tc>
        <w:tc>
          <w:tcPr>
            <w:tcW w:w="3000" w:type="dxa"/>
          </w:tcPr>
          <w:p>
            <w:r>
              <w:t xml:space="preserve">программа и методика испытаний.</w:t>
            </w:r>
          </w:p>
        </w:tc>
      </w:tr>
      <w:tr>
        <w:tc>
          <w:tcPr>
            <w:tcW w:w="3000" w:type="dxa"/>
          </w:tcPr>
          <w:p>
            <w:r>
              <w:t xml:space="preserve">LIU</w:t>
            </w:r>
          </w:p>
        </w:tc>
        <w:tc>
          <w:tcPr>
            <w:tcW w:w="3000" w:type="dxa"/>
          </w:tcPr>
          <w:p>
            <w:r>
              <w:t xml:space="preserve">восьмиканальный линейный интерфейсный узел субплаты.</w:t>
            </w:r>
          </w:p>
        </w:tc>
      </w:tr>
      <w:tr>
        <w:tc>
          <w:tcPr>
            <w:tcW w:w="3000" w:type="dxa"/>
          </w:tcPr>
          <w:p>
            <w:r>
              <w:t xml:space="preserve">EEPROM</w:t>
            </w:r>
          </w:p>
        </w:tc>
        <w:tc>
          <w:tcPr>
            <w:tcW w:w="3000" w:type="dxa"/>
          </w:tcPr>
          <w:p>
            <w:r>
              <w:t xml:space="preserve">память Board ID субплаты.</w:t>
            </w:r>
          </w:p>
        </w:tc>
      </w:tr>
      <w:tr>
        <w:tc>
          <w:tcPr>
            <w:tcW w:w="3000" w:type="dxa"/>
          </w:tcPr>
          <w:p>
            <w:r>
              <w:t xml:space="preserve">AIS</w:t>
            </w:r>
          </w:p>
        </w:tc>
        <w:tc>
          <w:tcPr>
            <w:tcW w:w="3000" w:type="dxa"/>
          </w:tcPr>
          <w:p>
            <w:r>
              <w:t xml:space="preserve">аварийный сигнал «все единицы».</w:t>
            </w:r>
          </w:p>
        </w:tc>
      </w:tr>
      <w:tr>
        <w:tc>
          <w:tcPr>
            <w:tcW w:w="3000" w:type="dxa"/>
          </w:tcPr>
          <w:p>
            <w:r>
              <w:t xml:space="preserve">LOS; LOF; RAI</w:t>
            </w:r>
          </w:p>
        </w:tc>
        <w:tc>
          <w:tcPr>
            <w:tcW w:w="3000" w:type="dxa"/>
          </w:tcPr>
          <w:p>
            <w:r>
              <w:t xml:space="preserve">состояния, подлежащие непрерывному контролю: LOS, LOF в кадровом режиме, AIS и RAI.</w:t>
            </w:r>
          </w:p>
        </w:tc>
      </w:tr>
      <w:tr>
        <w:tc>
          <w:tcPr>
            <w:tcW w:w="3000" w:type="dxa"/>
          </w:tcPr>
          <w:p>
            <w:r>
              <w:t xml:space="preserve">CRC-4; CAS; CCS</w:t>
            </w:r>
          </w:p>
        </w:tc>
        <w:tc>
          <w:tcPr>
            <w:tcW w:w="3000" w:type="dxa"/>
          </w:tcPr>
          <w:p>
            <w:r>
              <w:t xml:space="preserve">режимы/признаки обработки профиля CESoPSN: CRC-4, CAS (TS16) и CCS.</w:t>
            </w:r>
          </w:p>
        </w:tc>
      </w:tr>
      <w:tr>
        <w:tc>
          <w:tcPr>
            <w:tcW w:w="3000" w:type="dxa"/>
          </w:tcPr>
          <w:p>
            <w:r>
              <w:t xml:space="preserve">PDV</w:t>
            </w:r>
          </w:p>
        </w:tc>
        <w:tc>
          <w:tcPr>
            <w:tcW w:w="3000" w:type="dxa"/>
          </w:tcPr>
          <w:p>
            <w:r>
              <w:t xml:space="preserve">изменение задержки пакетов, компенсируемое джиттер-буфером каждого канала.</w:t>
            </w:r>
          </w:p>
        </w:tc>
      </w:tr>
      <w:tr>
        <w:tc>
          <w:tcPr>
            <w:tcW w:w="3000" w:type="dxa"/>
          </w:tcPr>
          <w:p>
            <w:r>
              <w:t xml:space="preserve">TCLK; ACR</w:t>
            </w:r>
          </w:p>
        </w:tc>
        <w:tc>
          <w:tcPr>
            <w:tcW w:w="3000" w:type="dxa"/>
          </w:tcPr>
          <w:p>
            <w:r>
              <w:t xml:space="preserve">системный источник тактирования TCLK; ACR от пакетной сети.</w:t>
            </w:r>
          </w:p>
        </w:tc>
      </w:tr>
      <w:tr>
        <w:tc>
          <w:tcPr>
            <w:tcW w:w="3000" w:type="dxa"/>
          </w:tcPr>
          <w:p>
            <w:r>
              <w:t xml:space="preserve">ES; SES; UAS</w:t>
            </w:r>
          </w:p>
        </w:tc>
        <w:tc>
          <w:tcPr>
            <w:tcW w:w="3000" w:type="dxa"/>
          </w:tcPr>
          <w:p>
            <w:r>
              <w:t xml:space="preserve">статистика G.826: ES, SES, UAS.</w:t>
            </w:r>
          </w:p>
        </w:tc>
      </w:tr>
      <w:tr>
        <w:tc>
          <w:tcPr>
            <w:tcW w:w="3000" w:type="dxa"/>
          </w:tcPr>
          <w:p>
            <w:r>
              <w:t xml:space="preserve">PRBS; BER</w:t>
            </w:r>
          </w:p>
        </w:tc>
        <w:tc>
          <w:tcPr>
            <w:tcW w:w="3000" w:type="dxa"/>
          </w:tcPr>
          <w:p>
            <w:r>
              <w:t xml:space="preserve">псевдослучайная последовательность для BER-тестов; проверяются PRBS 2</w:t>
            </w:r>
          </w:p>
          <w:p>
            <w:r>
              <w:rPr>
                <w:vertAlign w:val="superscript"/>
              </w:rPr>
              <w:t xml:space="preserve">15</w:t>
            </w:r>
          </w:p>
          <w:p>
            <w:r>
              <w:t xml:space="preserve">−1 и 2</w:t>
            </w:r>
          </w:p>
          <w:p>
            <w:r>
              <w:rPr>
                <w:vertAlign w:val="superscript"/>
              </w:rPr>
              <w:t xml:space="preserve">23</w:t>
            </w:r>
          </w:p>
          <w:p>
            <w:r>
              <w:t xml:space="preserve">−1.</w:t>
            </w:r>
          </w:p>
        </w:tc>
      </w:tr>
      <w:tr>
        <w:tc>
          <w:tcPr>
            <w:tcW w:w="3000" w:type="dxa"/>
          </w:tcPr>
          <w:p>
            <w:r>
              <w:t xml:space="preserve">ESD</w:t>
            </w:r>
          </w:p>
        </w:tc>
        <w:tc>
          <w:tcPr>
            <w:tcW w:w="3000" w:type="dxa"/>
          </w:tcPr>
          <w:p>
            <w:r>
              <w:t xml:space="preserve">защита от электростатического разряда.</w:t>
            </w:r>
          </w:p>
        </w:tc>
      </w:tr>
      <w:tr>
        <w:tc>
          <w:tcPr>
            <w:tcW w:w="3000" w:type="dxa"/>
          </w:tcPr>
          <w:p>
            <w:r>
              <w:t xml:space="preserve">HDB3; AMI</w:t>
            </w:r>
          </w:p>
        </w:tc>
        <w:tc>
          <w:tcPr>
            <w:tcW w:w="3000" w:type="dxa"/>
          </w:tcPr>
          <w:p>
            <w:r>
              <w:t xml:space="preserve">линейные коды каждого порта E1.</w:t>
            </w:r>
          </w:p>
        </w:tc>
      </w:tr>
    </w:tbl>
    <w:p>
      <w:pPr>
        <w:pStyle w:val="Heading1"/>
      </w:pPr>
      <w:r>
        <w:t xml:space="preserve">ПЕРЕЧЕНЬ ПРИМЕНИМЫХ НОРМАТИВНЫХ И СПРАВОЧНЫХ ДОКУМЕНТОВ</w:t>
      </w:r>
    </w:p>
    <w:p>
      <w:pPr>
        <w:pStyle w:val="ListParagraph"/>
      </w:pPr>
      <w:r>
        <w:t xml:space="preserve">1. </w:t>
      </w:r>
      <w:r>
        <w:t xml:space="preserve">ГОСТ 15.016-2016 «Система разработки и постановки продукции на производство. Техническое задание. Требования к содержанию и оформлению» — в применимой части разделов 6.1, 6.2 и 7.1.</w:t>
      </w:r>
    </w:p>
    <w:p>
      <w:pPr>
        <w:pStyle w:val="ListParagraph"/>
      </w:pPr>
      <w:r>
        <w:t xml:space="preserve">2. </w:t>
      </w:r>
      <w:r>
        <w:t xml:space="preserve">ITU-T G.703.</w:t>
      </w:r>
    </w:p>
    <w:p>
      <w:pPr>
        <w:pStyle w:val="ListParagraph"/>
      </w:pPr>
      <w:r>
        <w:t xml:space="preserve">3. </w:t>
      </w:r>
      <w:r>
        <w:t xml:space="preserve">ITU-T G.704.</w:t>
      </w:r>
    </w:p>
    <w:p>
      <w:pPr>
        <w:pStyle w:val="ListParagraph"/>
      </w:pPr>
      <w:r>
        <w:t xml:space="preserve">4. </w:t>
      </w:r>
      <w:r>
        <w:t xml:space="preserve">ITU-T G.823.</w:t>
      </w:r>
    </w:p>
    <w:p>
      <w:pPr>
        <w:pStyle w:val="ListParagraph"/>
      </w:pPr>
      <w:r>
        <w:t xml:space="preserve">5. </w:t>
      </w:r>
      <w:r>
        <w:t xml:space="preserve">ITU-T G.826.</w:t>
      </w:r>
    </w:p>
    <w:p>
      <w:pPr>
        <w:pStyle w:val="ListParagraph"/>
      </w:pPr>
      <w:r>
        <w:t xml:space="preserve">6. </w:t>
      </w:r>
      <w:r>
        <w:t xml:space="preserve">RFC 4553 (SAToP).</w:t>
      </w:r>
    </w:p>
    <w:p>
      <w:pPr>
        <w:pStyle w:val="ListParagraph"/>
      </w:pPr>
      <w:r>
        <w:t xml:space="preserve">7. </w:t>
      </w:r>
      <w:r>
        <w:t xml:space="preserve">RFC 5086 (CESoPSN).</w:t>
      </w:r>
    </w:p>
    <w:p>
      <w:pPr>
        <w:pStyle w:val="ListParagraph"/>
      </w:pPr>
      <w:r>
        <w:t xml:space="preserve">8. </w:t>
      </w:r>
      <w:r>
        <w:t xml:space="preserve">PICMG AMC.0 R2.0.</w:t>
      </w:r>
    </w:p>
    <w:p>
      <w:pPr>
        <w:pStyle w:val="ListParagraph"/>
      </w:pPr>
      <w:r>
        <w:t xml:space="preserve">9. </w:t>
      </w:r>
      <w:r>
        <w:t xml:space="preserve">ГОСТ РВ 20.39.304-98.</w:t>
      </w:r>
    </w:p>
    <w:p>
      <w:pPr>
        <w:pStyle w:val="ListParagraph"/>
      </w:pPr>
      <w:r>
        <w:t xml:space="preserve">10. </w:t>
      </w:r>
      <w:r>
        <w:t xml:space="preserve">ГОСТ В 25803-91.</w:t>
      </w:r>
    </w:p>
    <w:p>
      <w:pPr>
        <w:pStyle w:val="ListParagraph"/>
      </w:pPr>
      <w:r>
        <w:t xml:space="preserve">11. </w:t>
      </w:r>
      <w:r>
        <w:t xml:space="preserve">ГОСТ 2.114-2016.</w:t>
      </w:r>
    </w:p>
    <w:p>
      <w:pPr>
        <w:pStyle w:val="ListParagraph"/>
      </w:pPr>
      <w:r>
        <w:t xml:space="preserve">12. </w:t>
      </w:r>
      <w:r>
        <w:t xml:space="preserve">ГОСТ РВ 15.201-2003.</w:t>
      </w:r>
    </w:p>
    <w:p>
      <w:pPr>
        <w:pStyle w:val="ListParagraph"/>
      </w:pPr>
      <w:r>
        <w:t xml:space="preserve">13. </w:t>
      </w:r>
      <w:r>
        <w:t xml:space="preserve">ГОСТ 15150.</w:t>
      </w:r>
    </w:p>
    <w:p>
      <w:pPr>
        <w:pStyle w:val="Heading1"/>
      </w:pPr>
      <w:r>
        <w:t xml:space="preserve">1. Наименование, шифр, основание, исполнители и сроки ОКР</w:t>
      </w:r>
    </w:p>
    <w:p>
      <w:r>
        <w:rPr>
          <w:b/>
        </w:rPr>
        <w:t xml:space="preserve">1.1</w:t>
      </w:r>
      <w:r>
        <w:t xml:space="preserve"> Наименование составной части ОКР: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r>
        <w:rPr>
          <w:b/>
        </w:rPr>
        <w:t xml:space="preserve">1.2</w:t>
      </w:r>
      <w:r>
        <w:t xml:space="preserve"> Шифр ОКР — «Развитие-ТСА».</w:t>
      </w:r>
    </w:p>
    <w:p>
      <w:r>
        <w:rPr>
          <w:b/>
        </w:rPr>
        <w:t xml:space="preserve">1.3</w:t>
      </w:r>
      <w:r>
        <w:t xml:space="preserve"> Основание для выполнения: приказ об открытии инициативной ОКР № </w:t>
      </w:r>
      <w:r>
        <w:t xml:space="preserve">[уточнить]</w:t>
      </w:r>
      <w:r>
        <w:t xml:space="preserve"> от </w:t>
      </w:r>
      <w:r>
        <w:t xml:space="preserve">[уточнить]</w:t>
      </w:r>
      <w:r>
        <w:t xml:space="preserve">.</w:t>
      </w:r>
    </w:p>
    <w:p>
      <w:r>
        <w:rPr>
          <w:b/>
        </w:rPr>
        <w:t xml:space="preserve">1.4</w:t>
      </w:r>
      <w:r>
        <w:t xml:space="preserve"> Исполнитель составной части ОКР — ООО «тушканчик» (условное наименование из исходных данных). Головной исполнитель ОКР и заказчик: </w:t>
      </w:r>
      <w:r>
        <w:t xml:space="preserve">[уточнить]</w:t>
      </w:r>
      <w:r>
        <w:t xml:space="preserve">.</w:t>
      </w:r>
    </w:p>
    <w:p>
      <w:r>
        <w:rPr>
          <w:b/>
        </w:rPr>
        <w:t xml:space="preserve">1.5</w:t>
      </w:r>
      <w:r>
        <w:t xml:space="preserve"> Сроки выполнения работ должны быть увязаны с утверждённым планом-графиком разработки РКД, программной документации, изготовления образцов и испытаний. Календарные даты и утверждённый план-график: </w:t>
      </w:r>
      <w:r>
        <w:t xml:space="preserve">[уточнить]</w:t>
      </w:r>
      <w:r>
        <w:t xml:space="preserve">.</w:t>
      </w:r>
    </w:p>
    <w:p>
      <w:pPr>
        <w:pStyle w:val="Heading1"/>
      </w:pPr>
      <w:r>
        <w:t xml:space="preserve">2. Цель выполнения, наименование, назначение и область применения изделия</w:t>
      </w:r>
    </w:p>
    <w:p>
      <w:r>
        <w:rPr>
          <w:b/>
        </w:rPr>
        <w:t xml:space="preserve">2.1</w:t>
      </w:r>
      <w:r>
        <w:t xml:space="preserve"> Целью является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r>
        <w:rPr>
          <w:b/>
        </w:rPr>
        <w:t xml:space="preserve">2.2</w:t>
      </w:r>
      <w:r>
        <w:t xml:space="preserve"> Изделие — сменная интерфейсная субплата 8×E1 и функциональный модуль E1 для универсального базового модуля AMC семейства ДММП. Обозначение изделия: </w:t>
      </w:r>
      <w:r>
        <w:t xml:space="preserve">[уточнить]</w:t>
      </w:r>
      <w:r>
        <w:t xml:space="preserve">.</w:t>
      </w:r>
    </w:p>
    <w:p>
      <w:r>
        <w:rPr>
          <w:b/>
        </w:rPr>
        <w:t xml:space="preserve">2.3</w:t>
      </w:r>
      <w:r>
        <w:t xml:space="preserve"> Аппаратная часть включает субплату, интерфейсы, защиту, трансиверы и EEPROM. Логическая часть является функциональным модулем ПЛИС базовой платы, автоматически активируемым по Board ID.</w:t>
      </w:r>
    </w:p>
    <w:p>
      <w:r>
        <w:rPr>
          <w:b/>
        </w:rPr>
        <w:t xml:space="preserve">2.4</w:t>
      </w:r>
      <w:r>
        <w:t xml:space="preserve"> AMC должен устанавливаться на Carrier платформы ДММП.</w:t>
      </w:r>
    </w:p>
    <w:p>
      <w:r>
        <w:rPr>
          <w:b/>
        </w:rPr>
        <w:t xml:space="preserve">2.5</w:t>
      </w:r>
      <w:r>
        <w:t xml:space="preserve"> Область применения: TDM/SDH/PDH, телефонные станции, диспетчеризация и АСУ ТП энергетических и промышленных предприятий.</w:t>
      </w:r>
    </w:p>
    <w:p>
      <w:pPr>
        <w:pStyle w:val="Heading1"/>
      </w:pPr>
      <w:r>
        <w:t xml:space="preserve">3. Технические требования к изделию</w:t>
      </w:r>
    </w:p>
    <w:p>
      <w:pPr>
        <w:pStyle w:val="Heading2"/>
      </w:pPr>
      <w:r>
        <w:t xml:space="preserve">3.1. Архитектура и линии E1</w:t>
      </w:r>
    </w:p>
    <w:p>
      <w:r>
        <w:rPr>
          <w:b/>
        </w:rPr>
        <w:t xml:space="preserve">3.1.1</w:t>
      </w:r>
      <w:r>
        <w:t xml:space="preserve"> Субплата должна содержать 8 экранированных RJ-48C (8P8C), защиту, импульсные трансформаторы, восьмиканальный LIU, Board ID EEPROM и индикацию портов.</w:t>
      </w:r>
    </w:p>
    <w:p>
      <w:r>
        <w:rPr>
          <w:b/>
        </w:rPr>
        <w:t xml:space="preserve">3.1.2</w:t>
      </w:r>
      <w:r>
        <w:t xml:space="preserve"> Через B2B базовая плата должна предоставлять +12 В, +3,3 В, MMC и тактирование, а также выбирать bitstream E1 из Flash по Board ID. Числовой Board ID: </w:t>
      </w:r>
      <w:r>
        <w:t xml:space="preserve">[уточнить]</w:t>
      </w:r>
      <w:r>
        <w:t xml:space="preserve">.</w:t>
      </w:r>
    </w:p>
    <w:p>
      <w:r>
        <w:rPr>
          <w:b/>
        </w:rPr>
        <w:t xml:space="preserve">3.1.3</w:t>
      </w:r>
      <w:r>
        <w:t xml:space="preserve"> Каждый порт должен иметь симметричный двухпарный интерфейс 120 Ом, скорость 2048 кбит/с (2,048 Мбит/с) ±50 ppm, линейный код HDB3 или AMI и маску импульса по G.703.</w:t>
      </w:r>
    </w:p>
    <w:p>
      <w:r>
        <w:rPr>
          <w:b/>
        </w:rPr>
        <w:t xml:space="preserve">3.1.4</w:t>
      </w:r>
      <w:r>
        <w:t xml:space="preserve"> Каждый порт должен иметь трансформаторную изоляцию не менее 1500 В RMS, 50 Гц, 1 мин, а также супрессорную защиту от перенапряжений и ESD.</w:t>
      </w:r>
    </w:p>
    <w:p>
      <w:r>
        <w:rPr>
          <w:b/>
        </w:rPr>
        <w:t xml:space="preserve">3.1.5</w:t>
      </w:r>
      <w:r>
        <w:t xml:space="preserve"> Короткое замыкание, обрыв или перепутывание пар одного порта не должны влиять на другие порты и модуль.</w:t>
      </w:r>
    </w:p>
    <w:p>
      <w:r>
        <w:rPr>
          <w:b/>
        </w:rPr>
        <w:t xml:space="preserve">Проверка 3.1.</w:t>
      </w:r>
      <w:r>
        <w:t xml:space="preserve"> Осмотром и измерением подтверждают состав субплаты, наличие интерфейсов и индикации, сопротивление 120 Ом, скорость 2048 кбит/с (2,048 Мбит/с) ±50 ppm, HDB3 или AMI, маску по G.703 и изоляцию не менее 1500 В RMS при 50 Гц в течение 1 мин. Испытанием КЗ, обрыва и перепутывания пар одного порта подтверждают отсутствие влияния на другие порты и модуль.</w:t>
      </w:r>
    </w:p>
    <w:p>
      <w:pPr>
        <w:pStyle w:val="Heading2"/>
      </w:pPr>
      <w:r>
        <w:t xml:space="preserve">3.2. Обработка, тактирование и аварии</w:t>
      </w:r>
    </w:p>
    <w:p>
      <w:r>
        <w:rPr>
          <w:b/>
        </w:rPr>
        <w:t xml:space="preserve">3.2.1</w:t>
      </w:r>
      <w:r>
        <w:t xml:space="preserve"> Для каждого порта независимо должен поддерживаться профиль А SAToP по RFC 4553: полный неструктурированный поток с настраиваемой полезной нагрузкой и минимальной аппаратной задержкой.</w:t>
      </w:r>
    </w:p>
    <w:p>
      <w:r>
        <w:rPr>
          <w:b/>
        </w:rPr>
        <w:t xml:space="preserve">3.2.2</w:t>
      </w:r>
      <w:r>
        <w:t xml:space="preserve"> Для каждого порта независимо должен поддерживаться профиль Б CESoPSN по RFC 5086: N×64 кбит/с, TS1–TS31, G.704, CRC-4, CAS (TS16) и CCS.</w:t>
      </w:r>
    </w:p>
    <w:p>
      <w:r>
        <w:rPr>
          <w:b/>
        </w:rPr>
        <w:t xml:space="preserve">3.2.3</w:t>
      </w:r>
      <w:r>
        <w:t xml:space="preserve"> Fabric 10GbE должен обеспечивать Strict Priority QoS без потерь и с минимальной задержкой коммутации.</w:t>
      </w:r>
    </w:p>
    <w:p>
      <w:r>
        <w:rPr>
          <w:b/>
        </w:rPr>
        <w:t xml:space="preserve">3.2.4</w:t>
      </w:r>
      <w:r>
        <w:t xml:space="preserve"> Джиттер-буфер каждого канала должен иметь диапазон 1–64 мс для компенсации PDV. При потере пакетов или аварии сети должен выдаваться AIS («все единицы») с сохранением тактирования.</w:t>
      </w:r>
    </w:p>
    <w:p>
      <w:r>
        <w:rPr>
          <w:b/>
        </w:rPr>
        <w:t xml:space="preserve">3.2.5</w:t>
      </w:r>
      <w:r>
        <w:t xml:space="preserve"> Должны поддерживаться режимы передатчика: системный TCLK, ACR от пакетной сети, Free-run/Holdover и Loop timing. Восстановленные 2,048 МГц любого выбранного входного порта должны передаваться через B2B как кандидат синхронизации шасси. Джиттер и вандер — по G.823.</w:t>
      </w:r>
    </w:p>
    <w:p>
      <w:r>
        <w:rPr>
          <w:b/>
        </w:rPr>
        <w:t xml:space="preserve">3.2.6</w:t>
      </w:r>
      <w:r>
        <w:t xml:space="preserve"> Непрерывному контролю подлежат LOS, LOF в кадровом режиме, AIS, RAI, CRC-4, нарушения HDB3 и Frame slips. Должна вестись статистика G.826: ES, SES, UAS.</w:t>
      </w:r>
    </w:p>
    <w:p>
      <w:r>
        <w:rPr>
          <w:b/>
        </w:rPr>
        <w:t xml:space="preserve">3.2.7</w:t>
      </w:r>
      <w:r>
        <w:t xml:space="preserve"> Для каждого порта должны быть предусмотрены Local Line Loopback, Payload Loopback и Packet Loopback, а также встроенные генератор и анализатор PRBS 2</w:t>
      </w:r>
      <w:r>
        <w:rPr>
          <w:vertAlign w:val="superscript"/>
        </w:rPr>
        <w:t xml:space="preserve">15</w:t>
      </w:r>
      <w:r>
        <w:t xml:space="preserve">−1 и 2</w:t>
      </w:r>
      <w:r>
        <w:rPr>
          <w:vertAlign w:val="superscript"/>
        </w:rPr>
        <w:t xml:space="preserve">23</w:t>
      </w:r>
      <w:r>
        <w:t xml:space="preserve">−1 для BER-тестов.</w:t>
      </w:r>
    </w:p>
    <w:p>
      <w:r>
        <w:rPr>
          <w:b/>
        </w:rPr>
        <w:t xml:space="preserve">Проверка 3.2.</w:t>
      </w:r>
      <w:r>
        <w:t xml:space="preserve"> Испытаниями каждого порта подтверждают независимую обработку профилей SAToP и CESoPSN, диапазон джиттер-буфера 1–64 мс, режимы тактирования, передачу кандидата 2,048 МГц через B2B, регистрацию перечисленных аварий и счётчиков G.826, три вида петель и PRBS 2</w:t>
      </w:r>
      <w:r>
        <w:rPr>
          <w:vertAlign w:val="superscript"/>
        </w:rPr>
        <w:t xml:space="preserve">15</w:t>
      </w:r>
      <w:r>
        <w:t xml:space="preserve">−1, 2</w:t>
      </w:r>
      <w:r>
        <w:rPr>
          <w:vertAlign w:val="superscript"/>
        </w:rPr>
        <w:t xml:space="preserve">23</w:t>
      </w:r>
      <w:r>
        <w:t xml:space="preserve">−1. При имитации потери пакетов или аварии сети критерием является выдача AIS («все единицы») при сохранении тактирования.</w:t>
      </w:r>
    </w:p>
    <w:p>
      <w:pPr>
        <w:pStyle w:val="Heading2"/>
      </w:pPr>
      <w:r>
        <w:t xml:space="preserve">3.3. Конструкция и эксплуатация</w:t>
      </w:r>
    </w:p>
    <w:p>
      <w:r>
        <w:rPr>
          <w:b/>
        </w:rPr>
        <w:t xml:space="preserve">3.3.1</w:t>
      </w:r>
      <w:r>
        <w:t xml:space="preserve"> Конструкция должна обеспечивать крепление к общему лонжерону-теплоотводу и лицевой панели; разъёмы должны оставлять доступ к защёлкам, обзор светодиодов и вентиляцию.</w:t>
      </w:r>
    </w:p>
    <w:p>
      <w:r>
        <w:rPr>
          <w:b/>
        </w:rPr>
        <w:t xml:space="preserve">3.3.2</w:t>
      </w:r>
      <w:r>
        <w:t xml:space="preserve"> Мощность при всех активных портах должна составлять: субплата — не более 12 Вт; сборка — не более 35 Вт.</w:t>
      </w:r>
    </w:p>
    <w:p>
      <w:r>
        <w:rPr>
          <w:b/>
        </w:rPr>
        <w:t xml:space="preserve">3.3.3</w:t>
      </w:r>
      <w:r>
        <w:t xml:space="preserve"> Конструктивное исполнение — Single Full-size AMC.0, 73,5 × 180,6 × 28,95 мм; межплатное крепление — на 4–6 металлических стойках М2,5.</w:t>
      </w:r>
    </w:p>
    <w:p>
      <w:r>
        <w:rPr>
          <w:b/>
        </w:rPr>
        <w:t xml:space="preserve">3.3.4</w:t>
      </w:r>
      <w:r>
        <w:t xml:space="preserve"> Стойкость должна соответствовать ГОСТ РВ 20.39.304-98, группы 1.1, 1.3, 1.4.1, исполнение «О»; рабочая температура — −10…+50 °C, предельная — −40…+65 °C, синусоидальная вибрация — 5g, удары — 15g. Радиопомехи — группа 1.1.1 ГОСТ В 25803-91.</w:t>
      </w:r>
    </w:p>
    <w:p>
      <w:r>
        <w:rPr>
          <w:b/>
        </w:rPr>
        <w:t xml:space="preserve">3.3.5</w:t>
      </w:r>
      <w:r>
        <w:t xml:space="preserve"> Средняя наработка на отказ должна быть не менее 15 000 ч. Назначенный срок службы должен быть не менее 20 лет.</w:t>
      </w:r>
    </w:p>
    <w:p>
      <w:r>
        <w:rPr>
          <w:b/>
        </w:rPr>
        <w:t xml:space="preserve">Проверка 3.3.</w:t>
      </w:r>
      <w:r>
        <w:t xml:space="preserve"> Осмотром и измерением подтверждают исполнение Single Full-size AMC.0, размеры 73,5 × 180,6 × 28,95 мм, 4–6 металлических стоек М2,5, доступ к защёлкам, обзор светодиодов и вентиляцию. Измерением при всех активных портах подтверждают мощность субплаты не более 12 Вт и сборки не более 35 Вт. Испытаниями подтверждают заданные температурные, вибрационные и ударные воздействия, а также требования к радиопомехам; документацией и установленными показателями — MTBF не менее 15 000 ч и назначенный срок службы не менее 20 лет.</w:t>
      </w:r>
    </w:p>
    <w:p>
      <w:pPr>
        <w:pStyle w:val="Heading1"/>
      </w:pPr>
      <w:r>
        <w:t xml:space="preserve">4. Технико-экономические требования</w:t>
      </w:r>
    </w:p>
    <w:p>
      <w:r>
        <w:rPr>
          <w:b/>
        </w:rPr>
        <w:t xml:space="preserve">4.1</w:t>
      </w:r>
      <w:r>
        <w:t xml:space="preserve"> Технико-экономические требования не предъявляются.</w:t>
      </w:r>
    </w:p>
    <w:p>
      <w:pPr>
        <w:pStyle w:val="Heading1"/>
      </w:pPr>
      <w:r>
        <w:t xml:space="preserve">5. Требования к видам обеспечения</w:t>
      </w:r>
    </w:p>
    <w:p>
      <w:r>
        <w:rPr>
          <w:b/>
        </w:rPr>
        <w:t xml:space="preserve">5.1 Нормативное обеспечение.</w:t>
      </w:r>
      <w:r>
        <w:t xml:space="preserve"> При разработке должны применяться документы, приведённые в перечне применимых нормативных и справочных документов настоящего ТЗ.</w:t>
      </w:r>
    </w:p>
    <w:p>
      <w:r>
        <w:rPr>
          <w:b/>
        </w:rPr>
        <w:t xml:space="preserve">5.2 Метрологическое обеспечение.</w:t>
      </w:r>
      <w:r>
        <w:t xml:space="preserve"> Должны быть предусмотрены средства и методики измерения маски импульса E1, джиттера/вандера, BER и задержки пакетизации. Незаданные допуски не устанавливаются.</w:t>
      </w:r>
    </w:p>
    <w:p>
      <w:r>
        <w:rPr>
          <w:b/>
        </w:rPr>
        <w:t xml:space="preserve">5.3 Диагностическое обеспечение.</w:t>
      </w:r>
      <w:r>
        <w:t xml:space="preserve"> Должны быть предусмотрены регистрация LOS/LOF/AIS/RAI и счётчиков ошибок, формирование сообщений и отчётов для РМО.</w:t>
      </w:r>
    </w:p>
    <w:p>
      <w:r>
        <w:rPr>
          <w:b/>
        </w:rPr>
        <w:t xml:space="preserve">5.4 Программное обеспечение.</w:t>
      </w:r>
      <w:r>
        <w:t xml:space="preserve"> Должны быть предусмотрены bitstream функционального модуля для Flash базовой платы, драйверы Linux и MIB для РМО / SNMP.</w:t>
      </w:r>
    </w:p>
    <w:p>
      <w:r>
        <w:rPr>
          <w:b/>
        </w:rPr>
        <w:t xml:space="preserve">Проверка 5.</w:t>
      </w:r>
      <w:r>
        <w:t xml:space="preserve"> Анализом комплекта разработки и демонстрацией функций подтверждают наличие предусмотренных средств и методик, регистрацию указанных состояний и счётчиков, формирование сообщений и отчётов, а также наличие bitstream, драйверов Linux и MIB для РМО / SNMP.</w:t>
      </w:r>
    </w:p>
    <w:p>
      <w:pPr>
        <w:pStyle w:val="Heading1"/>
      </w:pPr>
      <w:r>
        <w:t xml:space="preserve">6. Требования к сырью, материалам и комплектующим изделиям</w:t>
      </w:r>
    </w:p>
    <w:p>
      <w:r>
        <w:rPr>
          <w:b/>
        </w:rPr>
        <w:t xml:space="preserve">6.1</w:t>
      </w:r>
      <w:r>
        <w:t xml:space="preserve"> Должен быть обеспечен приоритет отечественных материалов и комплектующих изделий с приёмкой ОТК.</w:t>
      </w:r>
    </w:p>
    <w:p>
      <w:r>
        <w:rPr>
          <w:b/>
        </w:rPr>
        <w:t xml:space="preserve">6.2</w:t>
      </w:r>
      <w:r>
        <w:t xml:space="preserve"> При отсутствии аналогов допускается импортная ЭКБ промышленного температурного диапазона.</w:t>
      </w:r>
    </w:p>
    <w:p>
      <w:r>
        <w:rPr>
          <w:b/>
        </w:rPr>
        <w:t xml:space="preserve">Проверка 6.</w:t>
      </w:r>
      <w:r>
        <w:t xml:space="preserve"> Анализом перечня материалов, комплектующих изделий и документов приёмки ОТК подтверждают выполнение приоритета отечественных материалов и комплектующих; для применённой импортной ЭКБ подтверждают отсутствие аналога и промышленный температурный диапазон.</w:t>
      </w:r>
    </w:p>
    <w:p>
      <w:pPr>
        <w:pStyle w:val="Heading1"/>
      </w:pPr>
      <w:r>
        <w:t xml:space="preserve">7. Требования к консервации, упаковке и маркировке</w:t>
      </w:r>
    </w:p>
    <w:p>
      <w:r>
        <w:rPr>
          <w:b/>
        </w:rPr>
        <w:t xml:space="preserve">7.1</w:t>
      </w:r>
      <w:r>
        <w:t xml:space="preserve"> На изделии должны быть предусмотрены децимальный и серийный номера, ревизия и маркировка портов E1-1…E1-8.</w:t>
      </w:r>
    </w:p>
    <w:p>
      <w:r>
        <w:rPr>
          <w:b/>
        </w:rPr>
        <w:t xml:space="preserve">7.2</w:t>
      </w:r>
      <w:r>
        <w:t xml:space="preserve"> Должна быть предусмотрена индивидуальная тара с ESD-защитой.</w:t>
      </w:r>
    </w:p>
    <w:p>
      <w:r>
        <w:rPr>
          <w:b/>
        </w:rPr>
        <w:t xml:space="preserve">7.3</w:t>
      </w:r>
      <w:r>
        <w:t xml:space="preserve"> Хранение в заводской таре должно быть обеспечено не менее 1 года по ГОСТ 15150. Условия консервации в исходных данных не заданы и настоящим ТЗ не устанавливаются.</w:t>
      </w:r>
    </w:p>
    <w:p>
      <w:r>
        <w:rPr>
          <w:b/>
        </w:rPr>
        <w:t xml:space="preserve">Проверка 7.</w:t>
      </w:r>
      <w:r>
        <w:t xml:space="preserve"> Осмотром подтверждают децимальный и серийный номера, ревизию, маркировку E1-1…E1-8 и ESD-защиту индивидуальной тары. Проверка срока хранения проводится по ГОСТ 15150; конкретные незаданные условия консервации не являются критерием настоящего ТЗ.</w:t>
      </w:r>
    </w:p>
    <w:p>
      <w:pPr>
        <w:pStyle w:val="Heading1"/>
      </w:pPr>
      <w:r>
        <w:t xml:space="preserve">8. Специальные требования</w:t>
      </w:r>
    </w:p>
    <w:p>
      <w:r>
        <w:rPr>
          <w:b/>
        </w:rPr>
        <w:t xml:space="preserve">8.1</w:t>
      </w:r>
      <w:r>
        <w:t xml:space="preserve"> Телеметрия РМО (C++/Qt) должна содержать мнемосхему 8 портов, индикацию LOS/LOF/AIS/RAI, счётчики G.826, отображение SAToP/CESoPSN и источника тактирования.</w:t>
      </w:r>
    </w:p>
    <w:p>
      <w:r>
        <w:rPr>
          <w:b/>
        </w:rPr>
        <w:t xml:space="preserve">8.2</w:t>
      </w:r>
      <w:r>
        <w:t xml:space="preserve"> Должны быть предусмотрены команды включения/отключения портов, изменения джиттер-буфера, управления диагностическими петлями и PRBS.</w:t>
      </w:r>
    </w:p>
    <w:p>
      <w:r>
        <w:rPr>
          <w:b/>
        </w:rPr>
        <w:t xml:space="preserve">Проверка 8.</w:t>
      </w:r>
      <w:r>
        <w:t xml:space="preserve"> Демонстрацией РМО подтверждают мнемосхему 8 портов, индикацию LOS/LOF/AIS/RAI, счётчики G.826, SAToP/CESoPSN и источник тактирования. Подачей команд подтверждают включение/отключение портов, изменение джиттер-буфера, диагностические петли и PRBS.</w:t>
      </w:r>
    </w:p>
    <w:p>
      <w:r>
        <w:rPr>
          <w:b/>
        </w:rPr>
        <w:t xml:space="preserve">Разработчик ТЗ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3000" w:type="dxa"/>
          </w:tcPr>
          <w:p>
            <w:r>
              <w:t xml:space="preserve">ООО «тушканчик»</w:t>
            </w:r>
          </w:p>
          <w:p>
            <w:r>
              <w:br/>
            </w:r>
          </w:p>
          <w:p>
            <w:r>
              <w:t xml:space="preserve">Должность: [уточнить]</w:t>
            </w:r>
          </w:p>
          <w:p>
            <w:r>
              <w:br/>
            </w:r>
          </w:p>
          <w:p>
            <w:r>
              <w:t xml:space="preserve">ФИО: [уточнить]</w:t>
            </w:r>
          </w:p>
        </w:tc>
        <w:tc>
          <w:tcPr>
            <w:tcW w:w="3000" w:type="dxa"/>
          </w:tcPr>
          <w:p>
            <w:r>
              <w:t xml:space="preserve">Подпись __________</w:t>
            </w:r>
          </w:p>
        </w:tc>
        <w:tc>
          <w:tcPr>
            <w:tcW w:w="3000" w:type="dxa"/>
          </w:tcPr>
          <w:p>
            <w:r>
              <w:t xml:space="preserve">«___» ________ 20__ г.</w:t>
            </w:r>
          </w:p>
        </w:tc>
      </w:tr>
    </w:tbl>
    <w:p>
      <w:r>
        <w:rPr>
          <w:b/>
        </w:rPr>
        <w:t xml:space="preserve">Согласующие подписи других организаций (предприятий):</w:t>
      </w:r>
      <w:r>
        <w:t xml:space="preserve"> [уточнить].</w:t>
      </w:r>
    </w:p>
    <w:sectPr>
      <w:pgSz w:w="11906" w:h="16838"/>
      <w:pgMar w:top="1134" w:right="850" w:bottom="1134" w:left="1134" w:header="708" w:footer="708" w:gutter="0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288" w:lineRule="auto"/>
        <w:jc w:val="both"/>
      </w:pPr>
    </w:pPrDefault>
  </w:docDefaults>
  <w:style w:type="paragraph" w:styleId="Heading1">
    <w:name w:val="heading 1"/>
    <w:basedOn w:val="Normal"/>
    <w:next w:val="Normal"/>
    <w:qFormat/>
    <w:pPr>
      <w:spacing w:before="240" w:after="160"/>
      <w:jc w:val="center"/>
      <w:outlineLvl w:val="0"/>
    </w:pPr>
    <w:rPr>
      <w:b/>
      <w:sz w:val="32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qFormat/>
    <w:rPr>
      <w:b/>
    </w:rPr>
  </w:style>
  <w:style w:type="paragraph" w:styleId="ListParagraph">
    <w:name w:val="List Paragraph"/>
    <w:basedOn w:val="Normal"/>
    <w:p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«Развитие-ТСА»</dc:title>
  <dc:language>ru-RU</dc:language>
</cp:coreProperties>
</file>